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26" w:type="dxa"/>
        <w:tblLayout w:type="fixed"/>
        <w:tblLook w:val="01E0" w:firstRow="1" w:lastRow="1" w:firstColumn="1" w:lastColumn="1" w:noHBand="0" w:noVBand="0"/>
      </w:tblPr>
      <w:tblGrid>
        <w:gridCol w:w="2552"/>
        <w:gridCol w:w="2787"/>
        <w:gridCol w:w="10787"/>
      </w:tblGrid>
      <w:tr w:rsidR="00137396" w:rsidRPr="000176C6" w:rsidTr="00335A06">
        <w:trPr>
          <w:trHeight w:hRule="exact" w:val="66"/>
        </w:trPr>
        <w:tc>
          <w:tcPr>
            <w:tcW w:w="2552" w:type="dxa"/>
          </w:tcPr>
          <w:p w:rsidR="00137396" w:rsidRPr="000176C6" w:rsidRDefault="00137396" w:rsidP="00137396">
            <w:pPr>
              <w:rPr>
                <w:rFonts w:ascii="Arial" w:hAnsi="Arial" w:cs="Arial"/>
                <w:sz w:val="12"/>
                <w:szCs w:val="12"/>
              </w:rPr>
            </w:pPr>
          </w:p>
        </w:tc>
        <w:tc>
          <w:tcPr>
            <w:tcW w:w="2787" w:type="dxa"/>
          </w:tcPr>
          <w:p w:rsidR="00137396" w:rsidRPr="000176C6" w:rsidRDefault="00137396" w:rsidP="00137396">
            <w:pPr>
              <w:rPr>
                <w:rFonts w:ascii="Arial" w:hAnsi="Arial" w:cs="Arial"/>
                <w:sz w:val="12"/>
                <w:szCs w:val="12"/>
              </w:rPr>
            </w:pPr>
          </w:p>
        </w:tc>
        <w:tc>
          <w:tcPr>
            <w:tcW w:w="10787" w:type="dxa"/>
          </w:tcPr>
          <w:p w:rsidR="00137396" w:rsidRPr="000176C6" w:rsidRDefault="00137396" w:rsidP="000176C6">
            <w:pPr>
              <w:jc w:val="right"/>
              <w:rPr>
                <w:rFonts w:ascii="Arial" w:hAnsi="Arial" w:cs="Arial"/>
              </w:rPr>
            </w:pPr>
          </w:p>
        </w:tc>
      </w:tr>
    </w:tbl>
    <w:p w:rsidR="00335A06" w:rsidRDefault="008566C9" w:rsidP="009677FE">
      <w:pPr>
        <w:pStyle w:val="Titel"/>
        <w:rPr>
          <w:sz w:val="56"/>
          <w:szCs w:val="56"/>
        </w:rPr>
      </w:pPr>
      <w:r>
        <w:rPr>
          <w:noProof/>
        </w:rPr>
        <w:drawing>
          <wp:anchor distT="0" distB="0" distL="114300" distR="114300" simplePos="0" relativeHeight="251665408" behindDoc="0" locked="0" layoutInCell="1" allowOverlap="1" wp14:anchorId="09E1BE05" wp14:editId="34437DCA">
            <wp:simplePos x="0" y="0"/>
            <wp:positionH relativeFrom="column">
              <wp:posOffset>153035</wp:posOffset>
            </wp:positionH>
            <wp:positionV relativeFrom="paragraph">
              <wp:posOffset>-45085</wp:posOffset>
            </wp:positionV>
            <wp:extent cx="1228725" cy="40957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notel sw Briefkop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409575"/>
                    </a:xfrm>
                    <a:prstGeom prst="rect">
                      <a:avLst/>
                    </a:prstGeom>
                  </pic:spPr>
                </pic:pic>
              </a:graphicData>
            </a:graphic>
            <wp14:sizeRelH relativeFrom="margin">
              <wp14:pctWidth>0</wp14:pctWidth>
            </wp14:sizeRelH>
            <wp14:sizeRelV relativeFrom="margin">
              <wp14:pctHeight>0</wp14:pctHeight>
            </wp14:sizeRelV>
          </wp:anchor>
        </w:drawing>
      </w:r>
      <w:r>
        <w:rPr>
          <w:rFonts w:ascii="DaxCondensed-Regular" w:hAnsi="DaxCondensed-Regular"/>
          <w:b/>
          <w:noProof/>
          <w:color w:val="4F81BD" w:themeColor="accent1"/>
          <w:sz w:val="56"/>
          <w:szCs w:val="56"/>
        </w:rPr>
        <w:drawing>
          <wp:anchor distT="0" distB="0" distL="114300" distR="114300" simplePos="0" relativeHeight="251663360" behindDoc="0" locked="0" layoutInCell="1" allowOverlap="1" wp14:anchorId="5B536B60" wp14:editId="2A4B253B">
            <wp:simplePos x="0" y="0"/>
            <wp:positionH relativeFrom="column">
              <wp:posOffset>8249285</wp:posOffset>
            </wp:positionH>
            <wp:positionV relativeFrom="paragraph">
              <wp:posOffset>40640</wp:posOffset>
            </wp:positionV>
            <wp:extent cx="1570355" cy="476250"/>
            <wp:effectExtent l="0" t="0" r="0" b="0"/>
            <wp:wrapThrough wrapText="bothSides">
              <wp:wrapPolygon edited="0">
                <wp:start x="1310" y="0"/>
                <wp:lineTo x="0" y="4320"/>
                <wp:lineTo x="0" y="20736"/>
                <wp:lineTo x="4979" y="20736"/>
                <wp:lineTo x="21224" y="15552"/>
                <wp:lineTo x="21224" y="6912"/>
                <wp:lineTo x="4979" y="0"/>
                <wp:lineTo x="1310" y="0"/>
              </wp:wrapPolygon>
            </wp:wrapThrough>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00917_Offenburg-Keh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0355" cy="476250"/>
                    </a:xfrm>
                    <a:prstGeom prst="rect">
                      <a:avLst/>
                    </a:prstGeom>
                  </pic:spPr>
                </pic:pic>
              </a:graphicData>
            </a:graphic>
            <wp14:sizeRelH relativeFrom="page">
              <wp14:pctWidth>0</wp14:pctWidth>
            </wp14:sizeRelH>
            <wp14:sizeRelV relativeFrom="page">
              <wp14:pctHeight>0</wp14:pctHeight>
            </wp14:sizeRelV>
          </wp:anchor>
        </w:drawing>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p>
    <w:p w:rsidR="00BA1EE7" w:rsidRPr="009E5BED" w:rsidRDefault="00DA643F" w:rsidP="009677FE">
      <w:pPr>
        <w:pStyle w:val="Titel"/>
        <w:rPr>
          <w:sz w:val="56"/>
          <w:szCs w:val="56"/>
        </w:rPr>
      </w:pPr>
      <w:r w:rsidRPr="007C2390">
        <w:rPr>
          <w:noProof/>
          <w:sz w:val="56"/>
          <w:szCs w:val="56"/>
        </w:rPr>
        <mc:AlternateContent>
          <mc:Choice Requires="wps">
            <w:drawing>
              <wp:anchor distT="45720" distB="45720" distL="114300" distR="114300" simplePos="0" relativeHeight="251667456" behindDoc="0" locked="0" layoutInCell="1" allowOverlap="1">
                <wp:simplePos x="0" y="0"/>
                <wp:positionH relativeFrom="margin">
                  <wp:posOffset>2270760</wp:posOffset>
                </wp:positionH>
                <wp:positionV relativeFrom="paragraph">
                  <wp:posOffset>546735</wp:posOffset>
                </wp:positionV>
                <wp:extent cx="4813300" cy="609600"/>
                <wp:effectExtent l="0" t="0" r="25400" b="1905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609600"/>
                        </a:xfrm>
                        <a:prstGeom prst="rect">
                          <a:avLst/>
                        </a:prstGeom>
                        <a:noFill/>
                        <a:ln>
                          <a:solidFill>
                            <a:schemeClr val="tx2">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7C2390" w:rsidRPr="00DA643F" w:rsidRDefault="007C2390">
                            <w:pPr>
                              <w:rPr>
                                <w:szCs w:val="22"/>
                              </w:rPr>
                            </w:pPr>
                            <w:r w:rsidRPr="00DA643F">
                              <w:rPr>
                                <w:szCs w:val="22"/>
                              </w:rPr>
                              <w:t>Bei vorliegender Substitutionsbehandlung besteht das Ziel darin, den Bewohner darin zu unterstützen, aus eigenem Willen und in Absprache mit den behandelnden Ärzten eine schrittweise Reduktion bis hin zur möglichen Absetzung zu erreichen.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78.8pt;margin-top:43.05pt;width:379pt;height:4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" filled="f" strokecolor="#17365d [2415]" strokeweight="2pt">
                <v:textbox>
                  <w:txbxContent>
                    <w:p w:rsidR="007C2390" w:rsidRPr="00DA643F" w:rsidRDefault="007C2390">
                      <w:pPr>
                        <w:rPr>
                          <w:szCs w:val="22"/>
                        </w:rPr>
                      </w:pPr>
                      <w:r w:rsidRPr="00DA643F">
                        <w:rPr>
                          <w:szCs w:val="22"/>
                        </w:rPr>
                        <w:t>Bei vorliegender Substitutionsbehandlung besteht das Ziel darin, den Bewohner darin zu unterstützen, aus eigenem Willen und in Absprache mit den behandelnden Ärzten eine schrittweise Reduktion bis hin zur möglichen Absetzung zu erreichen.</w:t>
                      </w:r>
                    </w:p>
                  </w:txbxContent>
                </v:textbox>
                <w10:wrap type="square" anchorx="margin"/>
              </v:shape>
            </w:pict>
          </mc:Fallback>
        </mc:AlternateContent>
      </w:r>
      <w:r w:rsidR="002A19BE" w:rsidRPr="00FA2D42">
        <w:rPr>
          <w:noProof/>
        </w:rPr>
        <w:drawing>
          <wp:anchor distT="0" distB="0" distL="114300" distR="114300" simplePos="0" relativeHeight="251659264" behindDoc="1" locked="0" layoutInCell="1" allowOverlap="1" wp14:anchorId="1458A402" wp14:editId="2798AEA7">
            <wp:simplePos x="0" y="0"/>
            <wp:positionH relativeFrom="column">
              <wp:posOffset>38735</wp:posOffset>
            </wp:positionH>
            <wp:positionV relativeFrom="page">
              <wp:posOffset>1279525</wp:posOffset>
            </wp:positionV>
            <wp:extent cx="10335895" cy="4227830"/>
            <wp:effectExtent l="0" t="0" r="0" b="1715770"/>
            <wp:wrapTight wrapText="bothSides">
              <wp:wrapPolygon edited="0">
                <wp:start x="17238" y="584"/>
                <wp:lineTo x="16561" y="779"/>
                <wp:lineTo x="14372" y="1265"/>
                <wp:lineTo x="10789" y="2336"/>
                <wp:lineTo x="11028" y="3893"/>
                <wp:lineTo x="10072" y="5353"/>
                <wp:lineTo x="6648" y="5450"/>
                <wp:lineTo x="5733" y="5742"/>
                <wp:lineTo x="5733" y="7008"/>
                <wp:lineTo x="557" y="8273"/>
                <wp:lineTo x="0" y="9830"/>
                <wp:lineTo x="0" y="16448"/>
                <wp:lineTo x="518" y="17908"/>
                <wp:lineTo x="518" y="29782"/>
                <wp:lineTo x="1194" y="30074"/>
                <wp:lineTo x="3623" y="30269"/>
                <wp:lineTo x="3901" y="30269"/>
                <wp:lineTo x="9754" y="30074"/>
                <wp:lineTo x="20662" y="29295"/>
                <wp:lineTo x="20702" y="28419"/>
                <wp:lineTo x="20463" y="28127"/>
                <wp:lineTo x="19109" y="27251"/>
                <wp:lineTo x="20582" y="25694"/>
                <wp:lineTo x="20662" y="24137"/>
                <wp:lineTo x="20702" y="18589"/>
                <wp:lineTo x="20343" y="18200"/>
                <wp:lineTo x="19149" y="17908"/>
                <wp:lineTo x="20503" y="17129"/>
                <wp:lineTo x="20264" y="13236"/>
                <wp:lineTo x="20423" y="12750"/>
                <wp:lineTo x="18830" y="11679"/>
                <wp:lineTo x="17318" y="11679"/>
                <wp:lineTo x="18711" y="10706"/>
                <wp:lineTo x="18671" y="10122"/>
                <wp:lineTo x="20662" y="10025"/>
                <wp:lineTo x="20702" y="5061"/>
                <wp:lineTo x="20065" y="4672"/>
                <wp:lineTo x="18432" y="3893"/>
                <wp:lineTo x="20980" y="3601"/>
                <wp:lineTo x="20901" y="2336"/>
                <wp:lineTo x="18273" y="2141"/>
                <wp:lineTo x="18432" y="779"/>
                <wp:lineTo x="17557" y="584"/>
                <wp:lineTo x="17238" y="584"/>
              </wp:wrapPolygon>
            </wp:wrapTight>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BA1EE7" w:rsidRPr="009E5BED">
        <w:rPr>
          <w:sz w:val="56"/>
          <w:szCs w:val="56"/>
        </w:rPr>
        <w:t>Stufenmodell de</w:t>
      </w:r>
      <w:r w:rsidR="007D383F">
        <w:rPr>
          <w:sz w:val="56"/>
          <w:szCs w:val="56"/>
        </w:rPr>
        <w:t>s</w:t>
      </w:r>
      <w:r w:rsidR="00BA1EE7" w:rsidRPr="009E5BED">
        <w:rPr>
          <w:sz w:val="56"/>
          <w:szCs w:val="56"/>
        </w:rPr>
        <w:t xml:space="preserve"> </w:t>
      </w:r>
      <w:r w:rsidR="007D383F">
        <w:rPr>
          <w:sz w:val="56"/>
          <w:szCs w:val="56"/>
        </w:rPr>
        <w:t>WB 7</w:t>
      </w:r>
      <w:bookmarkStart w:id="0" w:name="_GoBack"/>
      <w:bookmarkEnd w:id="0"/>
    </w:p>
    <w:p w:rsidR="00FA2D42" w:rsidRDefault="007D383F" w:rsidP="007D383F">
      <w:pPr>
        <w:pStyle w:val="Untertitel"/>
      </w:pPr>
      <w:r>
        <w:t>Bereich: Eingliederungshilfe</w:t>
      </w:r>
      <w:r w:rsidR="002A19BE">
        <w:tab/>
      </w:r>
    </w:p>
    <w:p w:rsidR="002A19BE" w:rsidRDefault="000A1EFD" w:rsidP="002A19BE">
      <w:pPr>
        <w:tabs>
          <w:tab w:val="left" w:pos="3226"/>
        </w:tabs>
      </w:pPr>
      <w:r w:rsidRPr="000A1EFD">
        <w:rPr>
          <w:noProof/>
          <w:sz w:val="56"/>
          <w:szCs w:val="56"/>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93980</wp:posOffset>
                </wp:positionV>
                <wp:extent cx="2143125" cy="8858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885825"/>
                        </a:xfrm>
                        <a:prstGeom prst="rect">
                          <a:avLst/>
                        </a:prstGeom>
                        <a:ln>
                          <a:solidFill>
                            <a:schemeClr val="tx2">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FE0920" w:rsidRPr="000A1EFD" w:rsidRDefault="00FE0920" w:rsidP="000A1EFD">
                            <w:r w:rsidRPr="000A1EFD">
                              <w:rPr>
                                <w:b/>
                                <w:bCs/>
                              </w:rPr>
                              <w:t xml:space="preserve">Bei Einkauf und/oder Konsum von </w:t>
                            </w:r>
                            <w:r>
                              <w:rPr>
                                <w:b/>
                                <w:bCs/>
                              </w:rPr>
                              <w:t>Suchtmitteln</w:t>
                            </w:r>
                            <w:r w:rsidRPr="000A1EFD">
                              <w:rPr>
                                <w:b/>
                                <w:bCs/>
                              </w:rPr>
                              <w:t xml:space="preserve"> oder alkoholhaltigen Lebensm</w:t>
                            </w:r>
                            <w:r>
                              <w:rPr>
                                <w:b/>
                                <w:bCs/>
                              </w:rPr>
                              <w:t>itteln erfolgt sofort eine Rück</w:t>
                            </w:r>
                            <w:r w:rsidRPr="000A1EFD">
                              <w:rPr>
                                <w:b/>
                                <w:bCs/>
                              </w:rPr>
                              <w:t>stufung!</w:t>
                            </w:r>
                          </w:p>
                          <w:p w:rsidR="00FE0920" w:rsidRDefault="00FE09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7.4pt;width:168.75pt;height:69.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" fillcolor="white [3201]" strokecolor="#17365d [2415]" strokeweight="2pt">
                <v:textbox>
                  <w:txbxContent>
                    <w:p w:rsidR="00FE0920" w:rsidRPr="000A1EFD" w:rsidRDefault="00FE0920" w:rsidP="000A1EFD">
                      <w:r w:rsidRPr="000A1EFD">
                        <w:rPr>
                          <w:b/>
                          <w:bCs/>
                        </w:rPr>
                        <w:t xml:space="preserve">Bei Einkauf und/oder Konsum von </w:t>
                      </w:r>
                      <w:r>
                        <w:rPr>
                          <w:b/>
                          <w:bCs/>
                        </w:rPr>
                        <w:t>Suchtmitteln</w:t>
                      </w:r>
                      <w:r w:rsidRPr="000A1EFD">
                        <w:rPr>
                          <w:b/>
                          <w:bCs/>
                        </w:rPr>
                        <w:t xml:space="preserve"> oder alkoholhaltigen Lebensm</w:t>
                      </w:r>
                      <w:r>
                        <w:rPr>
                          <w:b/>
                          <w:bCs/>
                        </w:rPr>
                        <w:t>itteln erfolgt sofort eine Rück</w:t>
                      </w:r>
                      <w:r w:rsidRPr="000A1EFD">
                        <w:rPr>
                          <w:b/>
                          <w:bCs/>
                        </w:rPr>
                        <w:t>stufung!</w:t>
                      </w:r>
                      <w:bookmarkStart w:id="1" w:name="_GoBack"/>
                      <w:bookmarkEnd w:id="1"/>
                    </w:p>
                    <w:p w:rsidR="00FE0920" w:rsidRDefault="00FE0920"/>
                  </w:txbxContent>
                </v:textbox>
                <w10:wrap type="square" anchorx="margin"/>
              </v:shape>
            </w:pict>
          </mc:Fallback>
        </mc:AlternateContent>
      </w:r>
    </w:p>
    <w:p w:rsidR="002A19BE" w:rsidRDefault="002A19BE" w:rsidP="002A19BE">
      <w:pPr>
        <w:tabs>
          <w:tab w:val="left" w:pos="3226"/>
        </w:tabs>
      </w:pPr>
    </w:p>
    <w:p w:rsidR="009D4972" w:rsidRPr="000F4A92" w:rsidRDefault="009D4972" w:rsidP="00BA1EE7">
      <w:pPr>
        <w:rPr>
          <w:rFonts w:ascii="Arial" w:hAnsi="Arial" w:cs="Arial"/>
          <w:szCs w:val="22"/>
        </w:rPr>
      </w:pPr>
    </w:p>
    <w:sectPr w:rsidR="009D4972" w:rsidRPr="000F4A92" w:rsidSect="0006339F">
      <w:footerReference w:type="default" r:id="rId15"/>
      <w:type w:val="continuous"/>
      <w:pgSz w:w="16840" w:h="11907" w:orient="landscape" w:code="9"/>
      <w:pgMar w:top="425" w:right="680" w:bottom="851"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920" w:rsidRDefault="00FE0920">
      <w:r>
        <w:separator/>
      </w:r>
    </w:p>
  </w:endnote>
  <w:endnote w:type="continuationSeparator" w:id="0">
    <w:p w:rsidR="00FE0920" w:rsidRDefault="00FE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Condensed-Regular">
    <w:altName w:val="Arial Narrow"/>
    <w:panose1 w:val="02000506020000020004"/>
    <w:charset w:val="00"/>
    <w:family w:val="auto"/>
    <w:pitch w:val="variable"/>
    <w:sig w:usb0="80000027" w:usb1="00000000" w:usb2="00000000" w:usb3="00000000" w:csb0="00000001" w:csb1="00000000"/>
  </w:font>
  <w:font w:name="DaxCondensed-Medium">
    <w:panose1 w:val="0200060604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920" w:rsidRDefault="00FE0920" w:rsidP="003138F6">
    <w:pPr>
      <w:pStyle w:val="Fuzeile"/>
      <w:rPr>
        <w:sz w:val="18"/>
        <w:szCs w:val="18"/>
      </w:rPr>
    </w:pPr>
  </w:p>
  <w:p w:rsidR="00FE0920" w:rsidRDefault="00FE0920" w:rsidP="003138F6">
    <w:pPr>
      <w:pStyle w:val="Fuzeile"/>
      <w:rPr>
        <w:sz w:val="18"/>
        <w:szCs w:val="18"/>
      </w:rPr>
    </w:pPr>
  </w:p>
  <w:p w:rsidR="00FE0920" w:rsidRPr="00A55ABC" w:rsidRDefault="00FE0920" w:rsidP="007D383F">
    <w:pPr>
      <w:pStyle w:val="Fuzeile"/>
      <w:jc w:val="center"/>
      <w:rPr>
        <w:color w:val="7F7F7F" w:themeColor="text1" w:themeTint="80"/>
        <w:sz w:val="18"/>
        <w:szCs w:val="18"/>
      </w:rPr>
    </w:pPr>
    <w:r w:rsidRPr="00A55ABC">
      <w:rPr>
        <w:color w:val="7F7F7F" w:themeColor="text1" w:themeTint="80"/>
        <w:sz w:val="18"/>
        <w:szCs w:val="18"/>
      </w:rPr>
      <w:t>Aus Gründen der besseren Lesbarkeit wird auf die gleichzeitige Verwendung der Sprachformen männlich, weiblich und divers (m/w/d) verzichtet. Sämtliche Personenbezeichnungen gelten gleichermaßen für alle Geschlechter.</w:t>
    </w:r>
  </w:p>
  <w:p w:rsidR="00FE0920" w:rsidRPr="003138F6" w:rsidRDefault="00FE0920" w:rsidP="007D383F">
    <w:pPr>
      <w:pStyle w:val="Fuzeile"/>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920" w:rsidRDefault="00FE0920">
      <w:r>
        <w:separator/>
      </w:r>
    </w:p>
  </w:footnote>
  <w:footnote w:type="continuationSeparator" w:id="0">
    <w:p w:rsidR="00FE0920" w:rsidRDefault="00FE0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418A5"/>
    <w:multiLevelType w:val="hybridMultilevel"/>
    <w:tmpl w:val="6ED663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FB0160"/>
    <w:multiLevelType w:val="hybridMultilevel"/>
    <w:tmpl w:val="4EE8A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3C09BA"/>
    <w:multiLevelType w:val="hybridMultilevel"/>
    <w:tmpl w:val="CF6A8B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75E11D6"/>
    <w:multiLevelType w:val="hybridMultilevel"/>
    <w:tmpl w:val="06DC844C"/>
    <w:lvl w:ilvl="0" w:tplc="B9A697A0">
      <w:start w:val="1"/>
      <w:numFmt w:val="bullet"/>
      <w:lvlText w:val="•"/>
      <w:lvlJc w:val="left"/>
      <w:pPr>
        <w:tabs>
          <w:tab w:val="num" w:pos="720"/>
        </w:tabs>
        <w:ind w:left="720" w:hanging="360"/>
      </w:pPr>
      <w:rPr>
        <w:rFonts w:ascii="Times New Roman" w:hAnsi="Times New Roman" w:hint="default"/>
      </w:rPr>
    </w:lvl>
    <w:lvl w:ilvl="1" w:tplc="5050862A" w:tentative="1">
      <w:start w:val="1"/>
      <w:numFmt w:val="bullet"/>
      <w:lvlText w:val="•"/>
      <w:lvlJc w:val="left"/>
      <w:pPr>
        <w:tabs>
          <w:tab w:val="num" w:pos="1440"/>
        </w:tabs>
        <w:ind w:left="1440" w:hanging="360"/>
      </w:pPr>
      <w:rPr>
        <w:rFonts w:ascii="Times New Roman" w:hAnsi="Times New Roman" w:hint="default"/>
      </w:rPr>
    </w:lvl>
    <w:lvl w:ilvl="2" w:tplc="72CA4BE8" w:tentative="1">
      <w:start w:val="1"/>
      <w:numFmt w:val="bullet"/>
      <w:lvlText w:val="•"/>
      <w:lvlJc w:val="left"/>
      <w:pPr>
        <w:tabs>
          <w:tab w:val="num" w:pos="2160"/>
        </w:tabs>
        <w:ind w:left="2160" w:hanging="360"/>
      </w:pPr>
      <w:rPr>
        <w:rFonts w:ascii="Times New Roman" w:hAnsi="Times New Roman" w:hint="default"/>
      </w:rPr>
    </w:lvl>
    <w:lvl w:ilvl="3" w:tplc="72661B88" w:tentative="1">
      <w:start w:val="1"/>
      <w:numFmt w:val="bullet"/>
      <w:lvlText w:val="•"/>
      <w:lvlJc w:val="left"/>
      <w:pPr>
        <w:tabs>
          <w:tab w:val="num" w:pos="2880"/>
        </w:tabs>
        <w:ind w:left="2880" w:hanging="360"/>
      </w:pPr>
      <w:rPr>
        <w:rFonts w:ascii="Times New Roman" w:hAnsi="Times New Roman" w:hint="default"/>
      </w:rPr>
    </w:lvl>
    <w:lvl w:ilvl="4" w:tplc="8668A442" w:tentative="1">
      <w:start w:val="1"/>
      <w:numFmt w:val="bullet"/>
      <w:lvlText w:val="•"/>
      <w:lvlJc w:val="left"/>
      <w:pPr>
        <w:tabs>
          <w:tab w:val="num" w:pos="3600"/>
        </w:tabs>
        <w:ind w:left="3600" w:hanging="360"/>
      </w:pPr>
      <w:rPr>
        <w:rFonts w:ascii="Times New Roman" w:hAnsi="Times New Roman" w:hint="default"/>
      </w:rPr>
    </w:lvl>
    <w:lvl w:ilvl="5" w:tplc="1B10B6AC" w:tentative="1">
      <w:start w:val="1"/>
      <w:numFmt w:val="bullet"/>
      <w:lvlText w:val="•"/>
      <w:lvlJc w:val="left"/>
      <w:pPr>
        <w:tabs>
          <w:tab w:val="num" w:pos="4320"/>
        </w:tabs>
        <w:ind w:left="4320" w:hanging="360"/>
      </w:pPr>
      <w:rPr>
        <w:rFonts w:ascii="Times New Roman" w:hAnsi="Times New Roman" w:hint="default"/>
      </w:rPr>
    </w:lvl>
    <w:lvl w:ilvl="6" w:tplc="6922D2E6" w:tentative="1">
      <w:start w:val="1"/>
      <w:numFmt w:val="bullet"/>
      <w:lvlText w:val="•"/>
      <w:lvlJc w:val="left"/>
      <w:pPr>
        <w:tabs>
          <w:tab w:val="num" w:pos="5040"/>
        </w:tabs>
        <w:ind w:left="5040" w:hanging="360"/>
      </w:pPr>
      <w:rPr>
        <w:rFonts w:ascii="Times New Roman" w:hAnsi="Times New Roman" w:hint="default"/>
      </w:rPr>
    </w:lvl>
    <w:lvl w:ilvl="7" w:tplc="826AA96A" w:tentative="1">
      <w:start w:val="1"/>
      <w:numFmt w:val="bullet"/>
      <w:lvlText w:val="•"/>
      <w:lvlJc w:val="left"/>
      <w:pPr>
        <w:tabs>
          <w:tab w:val="num" w:pos="5760"/>
        </w:tabs>
        <w:ind w:left="5760" w:hanging="360"/>
      </w:pPr>
      <w:rPr>
        <w:rFonts w:ascii="Times New Roman" w:hAnsi="Times New Roman" w:hint="default"/>
      </w:rPr>
    </w:lvl>
    <w:lvl w:ilvl="8" w:tplc="F13C28A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E7"/>
    <w:rsid w:val="000054CA"/>
    <w:rsid w:val="000175B8"/>
    <w:rsid w:val="000176C6"/>
    <w:rsid w:val="00032B13"/>
    <w:rsid w:val="0006339F"/>
    <w:rsid w:val="000A1EFD"/>
    <w:rsid w:val="000A29FF"/>
    <w:rsid w:val="000A5BD7"/>
    <w:rsid w:val="000F4A92"/>
    <w:rsid w:val="00137396"/>
    <w:rsid w:val="001908E1"/>
    <w:rsid w:val="001A12DD"/>
    <w:rsid w:val="001D5E22"/>
    <w:rsid w:val="00265B49"/>
    <w:rsid w:val="0026666C"/>
    <w:rsid w:val="00281C71"/>
    <w:rsid w:val="002A19BE"/>
    <w:rsid w:val="002A71A4"/>
    <w:rsid w:val="0030660E"/>
    <w:rsid w:val="003138F6"/>
    <w:rsid w:val="00335A06"/>
    <w:rsid w:val="003A4DB4"/>
    <w:rsid w:val="003C5B48"/>
    <w:rsid w:val="003D58B1"/>
    <w:rsid w:val="003E1A92"/>
    <w:rsid w:val="003E1FF9"/>
    <w:rsid w:val="003F05FF"/>
    <w:rsid w:val="003F1222"/>
    <w:rsid w:val="003F69AA"/>
    <w:rsid w:val="004150BB"/>
    <w:rsid w:val="00432D9C"/>
    <w:rsid w:val="00433E55"/>
    <w:rsid w:val="004356DE"/>
    <w:rsid w:val="0044054A"/>
    <w:rsid w:val="00443BB9"/>
    <w:rsid w:val="00475A2C"/>
    <w:rsid w:val="0049357F"/>
    <w:rsid w:val="004A5E87"/>
    <w:rsid w:val="004D20F7"/>
    <w:rsid w:val="00533CC9"/>
    <w:rsid w:val="00581911"/>
    <w:rsid w:val="00665FED"/>
    <w:rsid w:val="00670DCD"/>
    <w:rsid w:val="006B688E"/>
    <w:rsid w:val="006C05D2"/>
    <w:rsid w:val="006C5728"/>
    <w:rsid w:val="00751050"/>
    <w:rsid w:val="007A0881"/>
    <w:rsid w:val="007C2390"/>
    <w:rsid w:val="007D383F"/>
    <w:rsid w:val="00800E46"/>
    <w:rsid w:val="008161EA"/>
    <w:rsid w:val="00832C33"/>
    <w:rsid w:val="00833737"/>
    <w:rsid w:val="00842D13"/>
    <w:rsid w:val="008566C9"/>
    <w:rsid w:val="00882A22"/>
    <w:rsid w:val="00884AA9"/>
    <w:rsid w:val="00937B85"/>
    <w:rsid w:val="00944D6A"/>
    <w:rsid w:val="00955008"/>
    <w:rsid w:val="009677FE"/>
    <w:rsid w:val="00975E24"/>
    <w:rsid w:val="0098105C"/>
    <w:rsid w:val="009C6457"/>
    <w:rsid w:val="009D4972"/>
    <w:rsid w:val="009E5BED"/>
    <w:rsid w:val="00A14D89"/>
    <w:rsid w:val="00A25F94"/>
    <w:rsid w:val="00A55ABC"/>
    <w:rsid w:val="00A85789"/>
    <w:rsid w:val="00AB3394"/>
    <w:rsid w:val="00AB7FA2"/>
    <w:rsid w:val="00AC60EC"/>
    <w:rsid w:val="00AF5EA0"/>
    <w:rsid w:val="00B17329"/>
    <w:rsid w:val="00B93DFC"/>
    <w:rsid w:val="00BA1EE7"/>
    <w:rsid w:val="00BA34E8"/>
    <w:rsid w:val="00BA4094"/>
    <w:rsid w:val="00BB0689"/>
    <w:rsid w:val="00BE76D1"/>
    <w:rsid w:val="00C326F8"/>
    <w:rsid w:val="00C50181"/>
    <w:rsid w:val="00CD0AE6"/>
    <w:rsid w:val="00D0569D"/>
    <w:rsid w:val="00D07859"/>
    <w:rsid w:val="00D70394"/>
    <w:rsid w:val="00D75339"/>
    <w:rsid w:val="00DA643F"/>
    <w:rsid w:val="00E21A14"/>
    <w:rsid w:val="00E26A72"/>
    <w:rsid w:val="00E3200A"/>
    <w:rsid w:val="00E84A0D"/>
    <w:rsid w:val="00E97D1E"/>
    <w:rsid w:val="00EE3C66"/>
    <w:rsid w:val="00F070B8"/>
    <w:rsid w:val="00F16D41"/>
    <w:rsid w:val="00F20CFA"/>
    <w:rsid w:val="00FA2D42"/>
    <w:rsid w:val="00FB130E"/>
    <w:rsid w:val="00FB6667"/>
    <w:rsid w:val="00FE0920"/>
    <w:rsid w:val="00FF2D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A227079"/>
  <w15:docId w15:val="{3B24C144-D0FF-4B8B-8CD5-427E4015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1EE7"/>
    <w:rPr>
      <w:rFonts w:ascii="DaxCondensed-Regular" w:hAnsi="DaxCondensed-Regular"/>
      <w:sz w:val="22"/>
    </w:rPr>
  </w:style>
  <w:style w:type="paragraph" w:styleId="berschrift1">
    <w:name w:val="heading 1"/>
    <w:basedOn w:val="Standard"/>
    <w:next w:val="Standard"/>
    <w:link w:val="berschrift1Zchn"/>
    <w:qFormat/>
    <w:rsid w:val="00E3200A"/>
    <w:pPr>
      <w:keepNext/>
      <w:keepLines/>
      <w:spacing w:before="480"/>
      <w:outlineLvl w:val="0"/>
    </w:pPr>
    <w:rPr>
      <w:rFonts w:ascii="DaxCondensed-Medium" w:eastAsiaTheme="majorEastAsia" w:hAnsi="DaxCondensed-Medium" w:cstheme="majorBidi"/>
      <w:b/>
      <w:bCs/>
      <w:color w:val="006BB3"/>
      <w:sz w:val="26"/>
      <w:szCs w:val="28"/>
    </w:rPr>
  </w:style>
  <w:style w:type="paragraph" w:styleId="berschrift2">
    <w:name w:val="heading 2"/>
    <w:basedOn w:val="Standard"/>
    <w:next w:val="Standard"/>
    <w:link w:val="berschrift2Zchn"/>
    <w:semiHidden/>
    <w:unhideWhenUsed/>
    <w:qFormat/>
    <w:rsid w:val="00E320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137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6666C"/>
    <w:rPr>
      <w:color w:val="0000FF"/>
      <w:u w:val="single"/>
    </w:rPr>
  </w:style>
  <w:style w:type="paragraph" w:styleId="Sprechblasentext">
    <w:name w:val="Balloon Text"/>
    <w:basedOn w:val="Standard"/>
    <w:link w:val="SprechblasentextZchn"/>
    <w:uiPriority w:val="99"/>
    <w:semiHidden/>
    <w:unhideWhenUsed/>
    <w:rsid w:val="00FB6667"/>
    <w:rPr>
      <w:rFonts w:ascii="Tahoma" w:hAnsi="Tahoma" w:cs="Tahoma"/>
      <w:sz w:val="16"/>
      <w:szCs w:val="16"/>
    </w:rPr>
  </w:style>
  <w:style w:type="character" w:customStyle="1" w:styleId="SprechblasentextZchn">
    <w:name w:val="Sprechblasentext Zchn"/>
    <w:link w:val="Sprechblasentext"/>
    <w:uiPriority w:val="99"/>
    <w:semiHidden/>
    <w:rsid w:val="00FB6667"/>
    <w:rPr>
      <w:rFonts w:ascii="Tahoma" w:hAnsi="Tahoma" w:cs="Tahoma"/>
      <w:sz w:val="16"/>
      <w:szCs w:val="16"/>
    </w:rPr>
  </w:style>
  <w:style w:type="character" w:customStyle="1" w:styleId="berschrift1Zchn">
    <w:name w:val="Überschrift 1 Zchn"/>
    <w:basedOn w:val="Absatz-Standardschriftart"/>
    <w:link w:val="berschrift1"/>
    <w:rsid w:val="00E3200A"/>
    <w:rPr>
      <w:rFonts w:ascii="DaxCondensed-Medium" w:eastAsiaTheme="majorEastAsia" w:hAnsi="DaxCondensed-Medium" w:cstheme="majorBidi"/>
      <w:b/>
      <w:bCs/>
      <w:color w:val="006BB3"/>
      <w:sz w:val="26"/>
      <w:szCs w:val="28"/>
    </w:rPr>
  </w:style>
  <w:style w:type="character" w:customStyle="1" w:styleId="berschrift2Zchn">
    <w:name w:val="Überschrift 2 Zchn"/>
    <w:basedOn w:val="Absatz-Standardschriftart"/>
    <w:link w:val="berschrift2"/>
    <w:semiHidden/>
    <w:rsid w:val="00E3200A"/>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10"/>
    <w:qFormat/>
    <w:rsid w:val="009677FE"/>
    <w:pPr>
      <w:pBdr>
        <w:bottom w:val="single" w:sz="8" w:space="4" w:color="4F81BD" w:themeColor="accent1"/>
      </w:pBdr>
      <w:spacing w:after="300"/>
      <w:contextualSpacing/>
    </w:pPr>
    <w:rPr>
      <w:rFonts w:ascii="DaxCondensed-Medium" w:eastAsiaTheme="majorEastAsia" w:hAnsi="DaxCondensed-Medium" w:cstheme="majorBidi"/>
      <w:color w:val="CE0044"/>
      <w:spacing w:val="5"/>
      <w:kern w:val="28"/>
      <w:sz w:val="52"/>
      <w:szCs w:val="52"/>
    </w:rPr>
  </w:style>
  <w:style w:type="character" w:customStyle="1" w:styleId="TitelZchn">
    <w:name w:val="Titel Zchn"/>
    <w:basedOn w:val="Absatz-Standardschriftart"/>
    <w:link w:val="Titel"/>
    <w:uiPriority w:val="10"/>
    <w:rsid w:val="009677FE"/>
    <w:rPr>
      <w:rFonts w:ascii="DaxCondensed-Medium" w:eastAsiaTheme="majorEastAsia" w:hAnsi="DaxCondensed-Medium" w:cstheme="majorBidi"/>
      <w:color w:val="CE0044"/>
      <w:spacing w:val="5"/>
      <w:kern w:val="28"/>
      <w:sz w:val="52"/>
      <w:szCs w:val="52"/>
    </w:rPr>
  </w:style>
  <w:style w:type="paragraph" w:styleId="Untertitel">
    <w:name w:val="Subtitle"/>
    <w:basedOn w:val="Standard"/>
    <w:next w:val="Standard"/>
    <w:link w:val="UntertitelZchn"/>
    <w:uiPriority w:val="11"/>
    <w:qFormat/>
    <w:rsid w:val="00BA1EE7"/>
    <w:pPr>
      <w:numPr>
        <w:ilvl w:val="1"/>
      </w:numPr>
    </w:pPr>
    <w:rPr>
      <w:rFonts w:ascii="DaxCondensed-Medium" w:eastAsiaTheme="majorEastAsia" w:hAnsi="DaxCondensed-Medium" w:cstheme="majorBidi"/>
      <w:b/>
      <w:iCs/>
      <w:color w:val="02395F"/>
      <w:spacing w:val="15"/>
      <w:sz w:val="26"/>
      <w:szCs w:val="24"/>
    </w:rPr>
  </w:style>
  <w:style w:type="character" w:customStyle="1" w:styleId="UntertitelZchn">
    <w:name w:val="Untertitel Zchn"/>
    <w:basedOn w:val="Absatz-Standardschriftart"/>
    <w:link w:val="Untertitel"/>
    <w:uiPriority w:val="11"/>
    <w:rsid w:val="00BA1EE7"/>
    <w:rPr>
      <w:rFonts w:ascii="DaxCondensed-Medium" w:eastAsiaTheme="majorEastAsia" w:hAnsi="DaxCondensed-Medium" w:cstheme="majorBidi"/>
      <w:b/>
      <w:iCs/>
      <w:color w:val="02395F"/>
      <w:spacing w:val="15"/>
      <w:sz w:val="26"/>
      <w:szCs w:val="24"/>
    </w:rPr>
  </w:style>
  <w:style w:type="paragraph" w:styleId="KeinLeerraum">
    <w:name w:val="No Spacing"/>
    <w:aliases w:val="Überschrift eingerückt"/>
    <w:basedOn w:val="berschrift2"/>
    <w:uiPriority w:val="1"/>
    <w:qFormat/>
    <w:rsid w:val="00E3200A"/>
    <w:rPr>
      <w:rFonts w:ascii="DaxCondensed-Medium" w:hAnsi="DaxCondensed-Medium"/>
      <w:color w:val="CE0044"/>
      <w:sz w:val="22"/>
    </w:rPr>
  </w:style>
  <w:style w:type="paragraph" w:styleId="Listenabsatz">
    <w:name w:val="List Paragraph"/>
    <w:basedOn w:val="Standard"/>
    <w:uiPriority w:val="34"/>
    <w:qFormat/>
    <w:rsid w:val="00E3200A"/>
    <w:pPr>
      <w:ind w:left="720"/>
      <w:contextualSpacing/>
    </w:pPr>
  </w:style>
  <w:style w:type="paragraph" w:styleId="Inhaltsverzeichnisberschrift">
    <w:name w:val="TOC Heading"/>
    <w:basedOn w:val="berschrift1"/>
    <w:next w:val="Standard"/>
    <w:uiPriority w:val="39"/>
    <w:semiHidden/>
    <w:unhideWhenUsed/>
    <w:qFormat/>
    <w:rsid w:val="00E3200A"/>
    <w:pPr>
      <w:spacing w:line="276" w:lineRule="auto"/>
      <w:outlineLvl w:val="9"/>
    </w:pPr>
  </w:style>
  <w:style w:type="character" w:customStyle="1" w:styleId="FuzeileZchn">
    <w:name w:val="Fußzeile Zchn"/>
    <w:basedOn w:val="Absatz-Standardschriftart"/>
    <w:link w:val="Fuzeile"/>
    <w:uiPriority w:val="99"/>
    <w:rsid w:val="003F69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00240">
      <w:bodyDiv w:val="1"/>
      <w:marLeft w:val="0"/>
      <w:marRight w:val="0"/>
      <w:marTop w:val="0"/>
      <w:marBottom w:val="0"/>
      <w:divBdr>
        <w:top w:val="none" w:sz="0" w:space="0" w:color="auto"/>
        <w:left w:val="none" w:sz="0" w:space="0" w:color="auto"/>
        <w:bottom w:val="none" w:sz="0" w:space="0" w:color="auto"/>
        <w:right w:val="none" w:sz="0" w:space="0" w:color="auto"/>
      </w:divBdr>
      <w:divsChild>
        <w:div w:id="17833786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97717F-10A2-4257-B06E-E854FE7E73F9}"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de-DE"/>
        </a:p>
      </dgm:t>
    </dgm:pt>
    <dgm:pt modelId="{9BF72A31-D199-45F2-9AE0-6628C3F058BB}">
      <dgm:prSet phldrT="[Text]" custT="1"/>
      <dgm:spPr/>
      <dgm:t>
        <a:bodyPr/>
        <a:lstStyle/>
        <a:p>
          <a:pPr algn="l"/>
          <a:r>
            <a:rPr lang="de-DE" sz="2800" b="1">
              <a:solidFill>
                <a:srgbClr val="CE0044"/>
              </a:solidFill>
              <a:latin typeface="DaxCondensed-Regular" panose="02000506020000020004" pitchFamily="2" charset="0"/>
            </a:rPr>
            <a:t>Stufe 1</a:t>
          </a:r>
        </a:p>
        <a:p>
          <a:pPr algn="just"/>
          <a:endParaRPr lang="de-DE" sz="500" b="1">
            <a:latin typeface="DaxCondensed-Regular" panose="02000506020000020004" pitchFamily="2" charset="0"/>
          </a:endParaRPr>
        </a:p>
        <a:p>
          <a:pPr algn="just"/>
          <a:r>
            <a:rPr lang="de-DE" sz="1100" b="1">
              <a:latin typeface="DaxCondensed-Regular" panose="02000506020000020004" pitchFamily="2" charset="0"/>
            </a:rPr>
            <a:t>Bargeld &amp; Einkauf: </a:t>
          </a:r>
        </a:p>
        <a:p>
          <a:pPr algn="just"/>
          <a:r>
            <a:rPr lang="de-DE" sz="1100">
              <a:latin typeface="DaxCondensed-Regular" panose="02000506020000020004" pitchFamily="2" charset="0"/>
            </a:rPr>
            <a:t>Der Bewohner erhält kein Bargeld. Ein bargeldloser Einkauf in unserem Café Sorgenfrei bzw. am Kiosk ist möglich. Das Budget wird vom Haus festgelegt.</a:t>
          </a:r>
        </a:p>
        <a:p>
          <a:pPr algn="just"/>
          <a:endParaRPr lang="de-DE" sz="200">
            <a:latin typeface="DaxCondensed-Regular" panose="02000506020000020004" pitchFamily="2" charset="0"/>
          </a:endParaRPr>
        </a:p>
        <a:p>
          <a:pPr algn="just"/>
          <a:r>
            <a:rPr lang="de-DE" sz="1100" b="1">
              <a:latin typeface="DaxCondensed-Regular" panose="02000506020000020004" pitchFamily="2" charset="0"/>
            </a:rPr>
            <a:t>Ausgang: </a:t>
          </a:r>
        </a:p>
        <a:p>
          <a:pPr algn="just"/>
          <a:r>
            <a:rPr lang="de-DE" sz="1100">
              <a:latin typeface="DaxCondensed-Regular" panose="02000506020000020004" pitchFamily="2" charset="0"/>
            </a:rPr>
            <a:t>Der Bewohner erhält alleine keinen Ausgang. Er kann sich frei auf dem Heimgelände/ der Parkanlage bewegen. </a:t>
          </a:r>
        </a:p>
        <a:p>
          <a:pPr algn="just"/>
          <a:endParaRPr lang="de-DE" sz="200">
            <a:latin typeface="DaxCondensed-Regular" panose="02000506020000020004" pitchFamily="2" charset="0"/>
          </a:endParaRPr>
        </a:p>
        <a:p>
          <a:pPr algn="just"/>
          <a:r>
            <a:rPr lang="de-DE" sz="1100" b="1">
              <a:latin typeface="DaxCondensed-Regular" panose="02000506020000020004" pitchFamily="2" charset="0"/>
            </a:rPr>
            <a:t>Alkohol- und Drogentest: </a:t>
          </a:r>
        </a:p>
        <a:p>
          <a:pPr algn="l"/>
          <a:r>
            <a:rPr lang="de-DE" sz="1100">
              <a:latin typeface="DaxCondensed-Regular" panose="02000506020000020004" pitchFamily="2" charset="0"/>
            </a:rPr>
            <a:t>Mehrmals täglich Atemalkoholtests möglich.</a:t>
          </a:r>
        </a:p>
        <a:p>
          <a:pPr algn="l"/>
          <a:r>
            <a:rPr lang="de-DE" sz="1100">
              <a:latin typeface="DaxCondensed-Regular" panose="02000506020000020004" pitchFamily="2" charset="0"/>
            </a:rPr>
            <a:t>Drogenschnelltest sind täglich möglich.</a:t>
          </a:r>
        </a:p>
        <a:p>
          <a:pPr algn="l"/>
          <a:r>
            <a:rPr lang="de-DE" sz="1100">
              <a:latin typeface="DaxCondensed-Regular" panose="02000506020000020004" pitchFamily="2" charset="0"/>
            </a:rPr>
            <a:t>Urin (Alkohol u. Drogen) Labor-Test nach Bedarf, bzw. wenn ein Drogen-Schnelltest positiv anschlägt. Bei positivem Testergebnis trägt der Bewohner die Kosten des Tests.</a:t>
          </a:r>
        </a:p>
        <a:p>
          <a:pPr algn="l"/>
          <a:r>
            <a:rPr lang="de-DE" sz="1100">
              <a:latin typeface="DaxCondensed-Regular" panose="02000506020000020004" pitchFamily="2" charset="0"/>
            </a:rPr>
            <a:t>Teilnahme an der </a:t>
          </a:r>
          <a:r>
            <a:rPr lang="de-DE" sz="1100" b="1">
              <a:latin typeface="DaxCondensed-Regular" panose="02000506020000020004" pitchFamily="2" charset="0"/>
            </a:rPr>
            <a:t>AA-Sitzung</a:t>
          </a:r>
        </a:p>
      </dgm:t>
    </dgm:pt>
    <dgm:pt modelId="{FCB2B5D7-D300-496B-8932-6412D5D49826}" type="parTrans" cxnId="{2A41743F-E17B-4C9A-8E97-BBA41B413778}">
      <dgm:prSet/>
      <dgm:spPr/>
      <dgm:t>
        <a:bodyPr/>
        <a:lstStyle/>
        <a:p>
          <a:endParaRPr lang="de-DE"/>
        </a:p>
      </dgm:t>
    </dgm:pt>
    <dgm:pt modelId="{7FA2EFDC-22D5-4CB5-ADA1-230783C5E22D}" type="sibTrans" cxnId="{2A41743F-E17B-4C9A-8E97-BBA41B413778}">
      <dgm:prSet/>
      <dgm:spPr/>
      <dgm:t>
        <a:bodyPr/>
        <a:lstStyle/>
        <a:p>
          <a:endParaRPr lang="de-DE"/>
        </a:p>
      </dgm:t>
    </dgm:pt>
    <dgm:pt modelId="{3C4D972B-F4E6-4D11-A984-AB6BBA4E7A0B}">
      <dgm:prSet phldrT="[Text]" custT="1"/>
      <dgm:spPr/>
      <dgm:t>
        <a:bodyPr/>
        <a:lstStyle/>
        <a:p>
          <a:pPr algn="l"/>
          <a:r>
            <a:rPr lang="de-DE" sz="2800" b="1">
              <a:solidFill>
                <a:srgbClr val="CE0044"/>
              </a:solidFill>
              <a:latin typeface="DaxCondensed-Regular" panose="02000506020000020004" pitchFamily="2" charset="0"/>
            </a:rPr>
            <a:t>Stufe 2</a:t>
          </a:r>
        </a:p>
        <a:p>
          <a:pPr algn="just"/>
          <a:endParaRPr lang="de-DE" sz="500" b="1">
            <a:latin typeface="DaxCondensed-Regular" panose="02000506020000020004" pitchFamily="2" charset="0"/>
          </a:endParaRPr>
        </a:p>
        <a:p>
          <a:pPr algn="just"/>
          <a:r>
            <a:rPr lang="de-DE" sz="1100" b="1">
              <a:latin typeface="DaxCondensed-Regular" panose="02000506020000020004" pitchFamily="2" charset="0"/>
            </a:rPr>
            <a:t>Bargeld &amp; Einkauf: </a:t>
          </a:r>
        </a:p>
        <a:p>
          <a:pPr algn="just"/>
          <a:r>
            <a:rPr lang="de-DE" sz="1100">
              <a:latin typeface="DaxCondensed-Regular" panose="02000506020000020004" pitchFamily="2" charset="0"/>
            </a:rPr>
            <a:t>Der Bewohner erhält i.d.R. jeden Dienstag sein Bargeld. Das Geld ver-bleibt im Portmonnaie des Bewohners auf dem Wohnbereich. Dort kann es abgerufen werden, um im Café / am Kiosk einzukaufen oder bei ange-botenen Einkaufsfahrten des Wohn-bereichs mit dem Personal ausge-geben zu werden. Restgeld und Be-lege müssen beim Personal vorge-zeigt werden. Es ist berechtigt,  stich-probenartige Taschen- und Zimmer-kontrollen durchzuführen. </a:t>
          </a:r>
        </a:p>
        <a:p>
          <a:pPr algn="just"/>
          <a:endParaRPr lang="de-DE" sz="200" b="1">
            <a:latin typeface="DaxCondensed-Regular" panose="02000506020000020004" pitchFamily="2" charset="0"/>
          </a:endParaRPr>
        </a:p>
        <a:p>
          <a:pPr algn="just"/>
          <a:r>
            <a:rPr lang="de-DE" sz="1100" b="1">
              <a:latin typeface="DaxCondensed-Regular" panose="02000506020000020004" pitchFamily="2" charset="0"/>
            </a:rPr>
            <a:t>Ausgang: </a:t>
          </a:r>
        </a:p>
        <a:p>
          <a:pPr algn="just"/>
          <a:r>
            <a:rPr lang="de-DE" sz="1100">
              <a:latin typeface="DaxCondensed-Regular" panose="02000506020000020004" pitchFamily="2" charset="0"/>
            </a:rPr>
            <a:t>Der Bewohner erhält alleine keinen Ausgang. Es findet eine wöchentlich angebotene Einkaufsfahrt mit dem Personal statt.</a:t>
          </a:r>
        </a:p>
        <a:p>
          <a:pPr algn="just"/>
          <a:endParaRPr lang="de-DE" sz="200">
            <a:latin typeface="DaxCondensed-Regular" panose="02000506020000020004" pitchFamily="2" charset="0"/>
          </a:endParaRPr>
        </a:p>
        <a:p>
          <a:pPr algn="just"/>
          <a:r>
            <a:rPr lang="de-DE" sz="1100" b="1">
              <a:latin typeface="DaxCondensed-Regular" panose="02000506020000020004" pitchFamily="2" charset="0"/>
            </a:rPr>
            <a:t>Alkohol- und Drogentest: </a:t>
          </a:r>
        </a:p>
        <a:p>
          <a:pPr algn="just"/>
          <a:r>
            <a:rPr lang="de-DE" sz="1100" i="0">
              <a:latin typeface="DaxCondensed-Regular" panose="02000506020000020004" pitchFamily="2" charset="0"/>
            </a:rPr>
            <a:t>Analog zu Stufe 1</a:t>
          </a:r>
        </a:p>
        <a:p>
          <a:pPr algn="just"/>
          <a:endParaRPr lang="de-DE" sz="1100">
            <a:latin typeface="DaxCondensed-Regular" panose="02000506020000020004" pitchFamily="2" charset="0"/>
          </a:endParaRPr>
        </a:p>
        <a:p>
          <a:pPr algn="just"/>
          <a:r>
            <a:rPr lang="de-DE" sz="1100">
              <a:latin typeface="DaxCondensed-Regular" panose="02000506020000020004" pitchFamily="2" charset="0"/>
            </a:rPr>
            <a:t>Teilnahme an der </a:t>
          </a:r>
          <a:r>
            <a:rPr lang="de-DE" sz="1100" b="1">
              <a:latin typeface="DaxCondensed-Regular" panose="02000506020000020004" pitchFamily="2" charset="0"/>
            </a:rPr>
            <a:t>AA-Sitzung</a:t>
          </a:r>
          <a:endParaRPr lang="de-DE" sz="1100">
            <a:latin typeface="DaxCondensed-Regular" panose="02000506020000020004" pitchFamily="2" charset="0"/>
          </a:endParaRPr>
        </a:p>
        <a:p>
          <a:pPr algn="l"/>
          <a:endParaRPr lang="de-DE" sz="500">
            <a:solidFill>
              <a:srgbClr val="CE0044"/>
            </a:solidFill>
            <a:latin typeface="DaxCondensed-Regular" panose="02000506020000020004" pitchFamily="2" charset="0"/>
          </a:endParaRPr>
        </a:p>
      </dgm:t>
    </dgm:pt>
    <dgm:pt modelId="{64B2B840-BF7E-44F0-88D9-A46E26CCE966}" type="parTrans" cxnId="{05D29D8E-833B-48F9-BB4F-8EF405B90EAE}">
      <dgm:prSet/>
      <dgm:spPr/>
      <dgm:t>
        <a:bodyPr/>
        <a:lstStyle/>
        <a:p>
          <a:endParaRPr lang="de-DE"/>
        </a:p>
      </dgm:t>
    </dgm:pt>
    <dgm:pt modelId="{79FD6363-CAAB-4AEE-89C3-FAAE0EF45015}" type="sibTrans" cxnId="{05D29D8E-833B-48F9-BB4F-8EF405B90EAE}">
      <dgm:prSet/>
      <dgm:spPr/>
      <dgm:t>
        <a:bodyPr/>
        <a:lstStyle/>
        <a:p>
          <a:endParaRPr lang="de-DE"/>
        </a:p>
      </dgm:t>
    </dgm:pt>
    <dgm:pt modelId="{8262ACAC-677B-4255-AC89-549466F68CCF}">
      <dgm:prSet phldrT="[Text]" custT="1"/>
      <dgm:spPr/>
      <dgm:t>
        <a:bodyPr/>
        <a:lstStyle/>
        <a:p>
          <a:pPr algn="l"/>
          <a:r>
            <a:rPr lang="de-DE" sz="2800" b="1">
              <a:solidFill>
                <a:srgbClr val="CE0044"/>
              </a:solidFill>
              <a:latin typeface="DaxCondensed-Regular" panose="02000506020000020004" pitchFamily="2" charset="0"/>
            </a:rPr>
            <a:t>Stufe 3</a:t>
          </a:r>
        </a:p>
        <a:p>
          <a:pPr algn="just"/>
          <a:endParaRPr lang="de-DE" sz="500" b="1">
            <a:latin typeface="DaxCondensed-Regular" panose="02000506020000020004" pitchFamily="2" charset="0"/>
          </a:endParaRPr>
        </a:p>
        <a:p>
          <a:pPr algn="just"/>
          <a:r>
            <a:rPr lang="de-DE" sz="1100" b="1">
              <a:latin typeface="DaxCondensed-Regular" panose="02000506020000020004" pitchFamily="2" charset="0"/>
            </a:rPr>
            <a:t>Bargeld &amp; Einkauf: </a:t>
          </a:r>
        </a:p>
        <a:p>
          <a:pPr algn="just"/>
          <a:r>
            <a:rPr lang="de-DE" sz="1100" i="1">
              <a:latin typeface="DaxCondensed-Regular" panose="02000506020000020004" pitchFamily="2" charset="0"/>
            </a:rPr>
            <a:t>Analog zu Stufe 2 </a:t>
          </a:r>
        </a:p>
        <a:p>
          <a:pPr algn="just"/>
          <a:endParaRPr lang="de-DE" sz="200">
            <a:latin typeface="DaxCondensed-Regular" panose="02000506020000020004" pitchFamily="2" charset="0"/>
          </a:endParaRPr>
        </a:p>
        <a:p>
          <a:pPr algn="just"/>
          <a:r>
            <a:rPr lang="de-DE" sz="1100" b="1">
              <a:latin typeface="DaxCondensed-Regular" panose="02000506020000020004" pitchFamily="2" charset="0"/>
            </a:rPr>
            <a:t>Ausgang: </a:t>
          </a:r>
        </a:p>
        <a:p>
          <a:pPr algn="just"/>
          <a:r>
            <a:rPr lang="de-DE" sz="1100">
              <a:latin typeface="DaxCondensed-Regular" panose="02000506020000020004" pitchFamily="2" charset="0"/>
            </a:rPr>
            <a:t>Der Bewohner hat alleine Ausgang, jedoch nur außerhalb seiner Ar-beitszeit (zentrale und dezentrale Ar-beitstherapie) und seinen Verpflich-tungen innerhalb der Hausstruktur. Individuelle Absprachen mit dem Wohnbereich und dem Arbeitsplatz sind möglich.</a:t>
          </a:r>
        </a:p>
        <a:p>
          <a:pPr algn="just"/>
          <a:r>
            <a:rPr lang="de-DE" sz="1100">
              <a:latin typeface="DaxCondensed-Regular" panose="02000506020000020004" pitchFamily="2" charset="0"/>
            </a:rPr>
            <a:t>Grundsätzlich müssen sich die Be-wohner mündlich bei der AT und dem Wohnbereich selbstständig abmelden. Auf dem Wohnbereich erhalten sie einen An- und Abmeldezettel für die Pforte und müssen sich zusätzlich noch in einem Ausgangsbuch schrift-lich abmelden. Bei der Rückkehr ist es Pflicht, sich beim Personal zu melden und erneut im Ausgangsbuch gegen-zuzeichnen.</a:t>
          </a:r>
        </a:p>
        <a:p>
          <a:pPr algn="just"/>
          <a:endParaRPr lang="de-DE" sz="200">
            <a:latin typeface="DaxCondensed-Regular" panose="02000506020000020004" pitchFamily="2" charset="0"/>
          </a:endParaRPr>
        </a:p>
        <a:p>
          <a:pPr algn="just"/>
          <a:r>
            <a:rPr lang="de-DE" sz="1100" b="1">
              <a:latin typeface="DaxCondensed-Regular" panose="02000506020000020004" pitchFamily="2" charset="0"/>
            </a:rPr>
            <a:t>Alkohol- und Drogentest: </a:t>
          </a:r>
        </a:p>
        <a:p>
          <a:pPr algn="just"/>
          <a:r>
            <a:rPr lang="de-DE" sz="1100" i="0">
              <a:latin typeface="DaxCondensed-Regular" panose="02000506020000020004" pitchFamily="2" charset="0"/>
            </a:rPr>
            <a:t>Analog zu Stufe 1 + nach jedem Ausgang möglich</a:t>
          </a:r>
          <a:endParaRPr lang="de-DE" sz="1100" i="0">
            <a:solidFill>
              <a:srgbClr val="CE0044"/>
            </a:solidFill>
            <a:latin typeface="DaxCondensed-Regular" panose="02000506020000020004" pitchFamily="2" charset="0"/>
          </a:endParaRPr>
        </a:p>
      </dgm:t>
    </dgm:pt>
    <dgm:pt modelId="{E17BC66E-8CFE-423A-8DDD-3101D61CFF6E}" type="parTrans" cxnId="{1DF73B3E-1AA8-40E9-B225-700F479AE467}">
      <dgm:prSet/>
      <dgm:spPr/>
      <dgm:t>
        <a:bodyPr/>
        <a:lstStyle/>
        <a:p>
          <a:endParaRPr lang="de-DE"/>
        </a:p>
      </dgm:t>
    </dgm:pt>
    <dgm:pt modelId="{20AF7390-9A19-4193-BB98-0FD2439FA101}" type="sibTrans" cxnId="{1DF73B3E-1AA8-40E9-B225-700F479AE467}">
      <dgm:prSet/>
      <dgm:spPr/>
      <dgm:t>
        <a:bodyPr/>
        <a:lstStyle/>
        <a:p>
          <a:endParaRPr lang="de-DE"/>
        </a:p>
      </dgm:t>
    </dgm:pt>
    <dgm:pt modelId="{95D6C31E-4DC7-48BE-8638-05A553662AF2}">
      <dgm:prSet phldrT="[Text]" custT="1"/>
      <dgm:spPr/>
      <dgm:t>
        <a:bodyPr/>
        <a:lstStyle/>
        <a:p>
          <a:pPr algn="l"/>
          <a:r>
            <a:rPr lang="de-DE" sz="2800" b="1">
              <a:solidFill>
                <a:srgbClr val="CE0044"/>
              </a:solidFill>
              <a:latin typeface="DaxCondensed-Regular" panose="02000506020000020004" pitchFamily="2" charset="0"/>
            </a:rPr>
            <a:t>Stufe 4</a:t>
          </a:r>
        </a:p>
        <a:p>
          <a:pPr algn="just"/>
          <a:endParaRPr lang="de-DE" sz="500" b="1">
            <a:latin typeface="DaxCondensed-Regular" panose="02000506020000020004" pitchFamily="2" charset="0"/>
          </a:endParaRPr>
        </a:p>
        <a:p>
          <a:pPr algn="just"/>
          <a:r>
            <a:rPr lang="de-DE" sz="1100" b="1">
              <a:latin typeface="DaxCondensed-Regular" panose="02000506020000020004" pitchFamily="2" charset="0"/>
            </a:rPr>
            <a:t>Bargeld &amp; Einkauf: </a:t>
          </a:r>
        </a:p>
        <a:p>
          <a:pPr algn="just"/>
          <a:r>
            <a:rPr lang="de-DE" sz="1100">
              <a:latin typeface="DaxCondensed-Regular" panose="02000506020000020004" pitchFamily="2" charset="0"/>
            </a:rPr>
            <a:t>Der Bewohner erhält i.d.R. jeden Dienstag oder je nach individueller Ver-einbarung Taschengeld. Er muss nach seinen Einkäufen keine Belege oder Waren vorzeigen. Er verwaltet sein Geld selbst. Grundsätzlich sind aber immer wieder unangekündigte Kontrollen der Einkäufe möglich. </a:t>
          </a:r>
        </a:p>
        <a:p>
          <a:pPr algn="just"/>
          <a:endParaRPr lang="de-DE" sz="200" b="1">
            <a:latin typeface="DaxCondensed-Regular" panose="02000506020000020004" pitchFamily="2" charset="0"/>
          </a:endParaRPr>
        </a:p>
        <a:p>
          <a:pPr algn="just"/>
          <a:r>
            <a:rPr lang="de-DE" sz="1100" b="1">
              <a:latin typeface="DaxCondensed-Regular" panose="02000506020000020004" pitchFamily="2" charset="0"/>
            </a:rPr>
            <a:t>Ausgang: </a:t>
          </a:r>
        </a:p>
        <a:p>
          <a:r>
            <a:rPr lang="de-DE" sz="1100">
              <a:latin typeface="DaxCondensed-Regular" panose="02000506020000020004" pitchFamily="2" charset="0"/>
            </a:rPr>
            <a:t>Der Bewohner hat alleine Ausgang, je-doch nur außerhalb seiner Arbeitszeit (zentrale und dezentrale Arbeitsthera-pie) und seinen Verpflichtungen inner-halb der Hausstruktur. Individuelle Absprachen mit dem Wohnbereich und dem Arbeitsplatz sind möglich.</a:t>
          </a:r>
        </a:p>
        <a:p>
          <a:pPr algn="just"/>
          <a:r>
            <a:rPr lang="de-DE" sz="1100">
              <a:latin typeface="DaxCondensed-Regular" panose="02000506020000020004" pitchFamily="2" charset="0"/>
            </a:rPr>
            <a:t>Grundsätzlich müssen sich die Be-wohner mündlich bei der AT und dem Wohnbereich selbstständig abmelden. Auf dem Wohnbereich erhalten sie einen An- und Abmeldezettel für die Pforte und müssen sich zusätzlich noch in einem Ausgangsbuch schrift-lich abmelden. Bei der Rückkehr ist es Pflicht, sich beim Personal zu melden und erneut im Ausgangsbuch gegen-zuzeichnen</a:t>
          </a:r>
        </a:p>
        <a:p>
          <a:pPr algn="just"/>
          <a:endParaRPr lang="de-DE" sz="200" b="1">
            <a:latin typeface="DaxCondensed-Regular" panose="02000506020000020004" pitchFamily="2" charset="0"/>
          </a:endParaRPr>
        </a:p>
        <a:p>
          <a:pPr algn="just"/>
          <a:r>
            <a:rPr lang="de-DE" sz="1100" b="1">
              <a:latin typeface="DaxCondensed-Regular" panose="02000506020000020004" pitchFamily="2" charset="0"/>
            </a:rPr>
            <a:t>Alkohol- und Drogentest: </a:t>
          </a:r>
        </a:p>
        <a:p>
          <a:pPr algn="just"/>
          <a:r>
            <a:rPr lang="de-DE" sz="1100" b="0">
              <a:latin typeface="DaxCondensed-Regular" panose="02000506020000020004" pitchFamily="2" charset="0"/>
            </a:rPr>
            <a:t>S</a:t>
          </a:r>
          <a:r>
            <a:rPr lang="de-DE" sz="1100">
              <a:latin typeface="DaxCondensed-Regular" panose="02000506020000020004" pitchFamily="2" charset="0"/>
            </a:rPr>
            <a:t>tichprobenartig, nach jedem Ausgang Urintests bei Bedarf. </a:t>
          </a:r>
        </a:p>
        <a:p>
          <a:pPr algn="just"/>
          <a:endParaRPr lang="de-DE" sz="1100">
            <a:solidFill>
              <a:srgbClr val="CE0044"/>
            </a:solidFill>
            <a:latin typeface="DaxCondensed-Regular" panose="02000506020000020004" pitchFamily="2" charset="0"/>
          </a:endParaRPr>
        </a:p>
        <a:p>
          <a:pPr algn="just"/>
          <a:endParaRPr lang="de-DE" sz="1100">
            <a:solidFill>
              <a:srgbClr val="CE0044"/>
            </a:solidFill>
            <a:latin typeface="DaxCondensed-Regular" panose="02000506020000020004" pitchFamily="2" charset="0"/>
          </a:endParaRPr>
        </a:p>
        <a:p>
          <a:pPr algn="just"/>
          <a:endParaRPr lang="de-DE" sz="1100">
            <a:solidFill>
              <a:srgbClr val="CE0044"/>
            </a:solidFill>
            <a:latin typeface="DaxCondensed-Regular" panose="02000506020000020004" pitchFamily="2" charset="0"/>
          </a:endParaRPr>
        </a:p>
      </dgm:t>
    </dgm:pt>
    <dgm:pt modelId="{7BBAE20E-9330-49DA-83C2-B9FDCEC2643A}" type="parTrans" cxnId="{52B445B0-22A5-4DBB-80CC-EF6ECC0A9C53}">
      <dgm:prSet/>
      <dgm:spPr/>
      <dgm:t>
        <a:bodyPr/>
        <a:lstStyle/>
        <a:p>
          <a:endParaRPr lang="de-DE"/>
        </a:p>
      </dgm:t>
    </dgm:pt>
    <dgm:pt modelId="{9BBBF69B-CCCF-455C-ACCE-6436C6CA344D}" type="sibTrans" cxnId="{52B445B0-22A5-4DBB-80CC-EF6ECC0A9C53}">
      <dgm:prSet/>
      <dgm:spPr/>
      <dgm:t>
        <a:bodyPr/>
        <a:lstStyle/>
        <a:p>
          <a:endParaRPr lang="de-DE"/>
        </a:p>
      </dgm:t>
    </dgm:pt>
    <dgm:pt modelId="{4FFE4C59-6D9F-4D44-9822-3DEDD8563249}" type="pres">
      <dgm:prSet presAssocID="{D197717F-10A2-4257-B06E-E854FE7E73F9}" presName="rootnode" presStyleCnt="0">
        <dgm:presLayoutVars>
          <dgm:chMax/>
          <dgm:chPref/>
          <dgm:dir/>
          <dgm:animLvl val="lvl"/>
        </dgm:presLayoutVars>
      </dgm:prSet>
      <dgm:spPr/>
      <dgm:t>
        <a:bodyPr/>
        <a:lstStyle/>
        <a:p>
          <a:endParaRPr lang="de-DE"/>
        </a:p>
      </dgm:t>
    </dgm:pt>
    <dgm:pt modelId="{B4113BF8-B0BE-40AF-9568-7309C145D423}" type="pres">
      <dgm:prSet presAssocID="{9BF72A31-D199-45F2-9AE0-6628C3F058BB}" presName="composite" presStyleCnt="0"/>
      <dgm:spPr/>
    </dgm:pt>
    <dgm:pt modelId="{16872466-3FA3-4917-A440-25313E7DB2E2}" type="pres">
      <dgm:prSet presAssocID="{9BF72A31-D199-45F2-9AE0-6628C3F058BB}" presName="LShape" presStyleLbl="alignNode1" presStyleIdx="0" presStyleCnt="7" custScaleX="113555" custScaleY="100064" custLinFactNeighborX="-295" custLinFactNeighborY="-13476"/>
      <dgm:spPr>
        <a:solidFill>
          <a:srgbClr val="02395F"/>
        </a:solidFill>
        <a:ln>
          <a:solidFill>
            <a:srgbClr val="02395F"/>
          </a:solidFill>
        </a:ln>
      </dgm:spPr>
    </dgm:pt>
    <dgm:pt modelId="{FE8E9097-90E7-4BF9-8CD8-4A035189F9AC}" type="pres">
      <dgm:prSet presAssocID="{9BF72A31-D199-45F2-9AE0-6628C3F058BB}" presName="ParentText" presStyleLbl="revTx" presStyleIdx="0" presStyleCnt="4" custScaleX="115172" custScaleY="99857" custLinFactNeighborX="-390" custLinFactNeighborY="-50710">
        <dgm:presLayoutVars>
          <dgm:chMax val="0"/>
          <dgm:chPref val="0"/>
          <dgm:bulletEnabled val="1"/>
        </dgm:presLayoutVars>
      </dgm:prSet>
      <dgm:spPr/>
      <dgm:t>
        <a:bodyPr/>
        <a:lstStyle/>
        <a:p>
          <a:endParaRPr lang="de-DE"/>
        </a:p>
      </dgm:t>
    </dgm:pt>
    <dgm:pt modelId="{03CA79AB-2FEC-495D-9AAB-90697A955D0A}" type="pres">
      <dgm:prSet presAssocID="{9BF72A31-D199-45F2-9AE0-6628C3F058BB}" presName="Triangle" presStyleLbl="alignNode1" presStyleIdx="1" presStyleCnt="7" custAng="0" custLinFactNeighborX="33015" custLinFactNeighborY="-10471"/>
      <dgm:spPr>
        <a:solidFill>
          <a:srgbClr val="02395F"/>
        </a:solidFill>
        <a:ln>
          <a:solidFill>
            <a:srgbClr val="02395F"/>
          </a:solidFill>
        </a:ln>
      </dgm:spPr>
      <dgm:t>
        <a:bodyPr/>
        <a:lstStyle/>
        <a:p>
          <a:endParaRPr lang="de-DE"/>
        </a:p>
      </dgm:t>
    </dgm:pt>
    <dgm:pt modelId="{F07B9476-B6BF-4968-9B64-A8852F954F9E}" type="pres">
      <dgm:prSet presAssocID="{7FA2EFDC-22D5-4CB5-ADA1-230783C5E22D}" presName="sibTrans" presStyleCnt="0"/>
      <dgm:spPr/>
    </dgm:pt>
    <dgm:pt modelId="{7FB67384-2371-4328-AA16-05CFF486E9E5}" type="pres">
      <dgm:prSet presAssocID="{7FA2EFDC-22D5-4CB5-ADA1-230783C5E22D}" presName="space" presStyleCnt="0"/>
      <dgm:spPr/>
    </dgm:pt>
    <dgm:pt modelId="{C6845B11-52B4-41BD-A0B7-8AA287BCF1BB}" type="pres">
      <dgm:prSet presAssocID="{3C4D972B-F4E6-4D11-A984-AB6BBA4E7A0B}" presName="composite" presStyleCnt="0"/>
      <dgm:spPr/>
    </dgm:pt>
    <dgm:pt modelId="{6738532F-1F0B-404A-BE8A-3D39F5F2AB79}" type="pres">
      <dgm:prSet presAssocID="{3C4D972B-F4E6-4D11-A984-AB6BBA4E7A0B}" presName="LShape" presStyleLbl="alignNode1" presStyleIdx="2" presStyleCnt="7" custScaleX="117332" custScaleY="100140" custLinFactNeighborX="-7725" custLinFactNeighborY="-6481"/>
      <dgm:spPr>
        <a:solidFill>
          <a:srgbClr val="02395F"/>
        </a:solidFill>
        <a:ln>
          <a:solidFill>
            <a:srgbClr val="02395F"/>
          </a:solidFill>
        </a:ln>
      </dgm:spPr>
    </dgm:pt>
    <dgm:pt modelId="{00E4865E-85A4-44D1-84FA-BC9659FED51D}" type="pres">
      <dgm:prSet presAssocID="{3C4D972B-F4E6-4D11-A984-AB6BBA4E7A0B}" presName="ParentText" presStyleLbl="revTx" presStyleIdx="1" presStyleCnt="4" custScaleX="115172" custScaleY="100076" custLinFactNeighborX="-9695" custLinFactNeighborY="-45407">
        <dgm:presLayoutVars>
          <dgm:chMax val="0"/>
          <dgm:chPref val="0"/>
          <dgm:bulletEnabled val="1"/>
        </dgm:presLayoutVars>
      </dgm:prSet>
      <dgm:spPr/>
      <dgm:t>
        <a:bodyPr/>
        <a:lstStyle/>
        <a:p>
          <a:endParaRPr lang="de-DE"/>
        </a:p>
      </dgm:t>
    </dgm:pt>
    <dgm:pt modelId="{806B9137-B6AD-4647-AA3E-564B304AEC96}" type="pres">
      <dgm:prSet presAssocID="{3C4D972B-F4E6-4D11-A984-AB6BBA4E7A0B}" presName="Triangle" presStyleLbl="alignNode1" presStyleIdx="3" presStyleCnt="7" custLinFactNeighborX="1124" custLinFactNeighborY="16398"/>
      <dgm:spPr>
        <a:solidFill>
          <a:srgbClr val="02395F"/>
        </a:solidFill>
        <a:ln>
          <a:solidFill>
            <a:srgbClr val="02395F"/>
          </a:solidFill>
        </a:ln>
      </dgm:spPr>
    </dgm:pt>
    <dgm:pt modelId="{5EADC4F0-89C1-4D3F-A7C8-46D687A15829}" type="pres">
      <dgm:prSet presAssocID="{79FD6363-CAAB-4AEE-89C3-FAAE0EF45015}" presName="sibTrans" presStyleCnt="0"/>
      <dgm:spPr/>
    </dgm:pt>
    <dgm:pt modelId="{0D138EB8-A98E-4C35-8DE5-858589984338}" type="pres">
      <dgm:prSet presAssocID="{79FD6363-CAAB-4AEE-89C3-FAAE0EF45015}" presName="space" presStyleCnt="0"/>
      <dgm:spPr/>
    </dgm:pt>
    <dgm:pt modelId="{29AB194A-F4AB-432A-92D7-1E4412EF499D}" type="pres">
      <dgm:prSet presAssocID="{8262ACAC-677B-4255-AC89-549466F68CCF}" presName="composite" presStyleCnt="0"/>
      <dgm:spPr/>
    </dgm:pt>
    <dgm:pt modelId="{7C57DEB1-A660-4526-BB6D-0989E3180B1B}" type="pres">
      <dgm:prSet presAssocID="{8262ACAC-677B-4255-AC89-549466F68CCF}" presName="LShape" presStyleLbl="alignNode1" presStyleIdx="4" presStyleCnt="7" custScaleX="114703" custScaleY="99904" custLinFactNeighborX="-10781" custLinFactNeighborY="1113"/>
      <dgm:spPr>
        <a:solidFill>
          <a:srgbClr val="02395F"/>
        </a:solidFill>
        <a:ln>
          <a:solidFill>
            <a:srgbClr val="02395F"/>
          </a:solidFill>
        </a:ln>
      </dgm:spPr>
    </dgm:pt>
    <dgm:pt modelId="{349DD92A-45B7-4E7A-9AFD-FA83FE7869DD}" type="pres">
      <dgm:prSet presAssocID="{8262ACAC-677B-4255-AC89-549466F68CCF}" presName="ParentText" presStyleLbl="revTx" presStyleIdx="2" presStyleCnt="4" custScaleX="115172" custScaleY="100076" custLinFactNeighborX="-12006" custLinFactNeighborY="-39360">
        <dgm:presLayoutVars>
          <dgm:chMax val="0"/>
          <dgm:chPref val="0"/>
          <dgm:bulletEnabled val="1"/>
        </dgm:presLayoutVars>
      </dgm:prSet>
      <dgm:spPr/>
      <dgm:t>
        <a:bodyPr/>
        <a:lstStyle/>
        <a:p>
          <a:endParaRPr lang="de-DE"/>
        </a:p>
      </dgm:t>
    </dgm:pt>
    <dgm:pt modelId="{370F4369-846B-4CB8-BD3B-7FE3A770C5B9}" type="pres">
      <dgm:prSet presAssocID="{8262ACAC-677B-4255-AC89-549466F68CCF}" presName="Triangle" presStyleLbl="alignNode1" presStyleIdx="5" presStyleCnt="7" custLinFactNeighborX="-23428" custLinFactNeighborY="42328"/>
      <dgm:spPr>
        <a:solidFill>
          <a:srgbClr val="02395F"/>
        </a:solidFill>
        <a:ln>
          <a:solidFill>
            <a:srgbClr val="02395F"/>
          </a:solidFill>
        </a:ln>
      </dgm:spPr>
    </dgm:pt>
    <dgm:pt modelId="{B029FA0A-4E8F-4C93-8F63-9CF1C505749F}" type="pres">
      <dgm:prSet presAssocID="{20AF7390-9A19-4193-BB98-0FD2439FA101}" presName="sibTrans" presStyleCnt="0"/>
      <dgm:spPr/>
    </dgm:pt>
    <dgm:pt modelId="{7A0E59CF-310A-4C61-AF2D-2210E9BED7A4}" type="pres">
      <dgm:prSet presAssocID="{20AF7390-9A19-4193-BB98-0FD2439FA101}" presName="space" presStyleCnt="0"/>
      <dgm:spPr/>
    </dgm:pt>
    <dgm:pt modelId="{2C562D50-2909-4319-B6BB-E38740AB38D5}" type="pres">
      <dgm:prSet presAssocID="{95D6C31E-4DC7-48BE-8638-05A553662AF2}" presName="composite" presStyleCnt="0"/>
      <dgm:spPr/>
    </dgm:pt>
    <dgm:pt modelId="{7F7F7750-D146-4A33-8288-1383AD6A2DD1}" type="pres">
      <dgm:prSet presAssocID="{95D6C31E-4DC7-48BE-8638-05A553662AF2}" presName="LShape" presStyleLbl="alignNode1" presStyleIdx="6" presStyleCnt="7" custScaleX="118733" custScaleY="99952" custLinFactNeighborX="-16890" custLinFactNeighborY="19246"/>
      <dgm:spPr>
        <a:solidFill>
          <a:srgbClr val="02395F"/>
        </a:solidFill>
        <a:ln>
          <a:solidFill>
            <a:srgbClr val="02395F"/>
          </a:solidFill>
        </a:ln>
      </dgm:spPr>
    </dgm:pt>
    <dgm:pt modelId="{D6EC97AD-D34D-474F-B892-D72CF5C3B3FF}" type="pres">
      <dgm:prSet presAssocID="{95D6C31E-4DC7-48BE-8638-05A553662AF2}" presName="ParentText" presStyleLbl="revTx" presStyleIdx="3" presStyleCnt="4" custScaleX="120257" custScaleY="116818" custLinFactNeighborX="-19551" custLinFactNeighborY="-17463">
        <dgm:presLayoutVars>
          <dgm:chMax val="0"/>
          <dgm:chPref val="0"/>
          <dgm:bulletEnabled val="1"/>
        </dgm:presLayoutVars>
      </dgm:prSet>
      <dgm:spPr/>
      <dgm:t>
        <a:bodyPr/>
        <a:lstStyle/>
        <a:p>
          <a:endParaRPr lang="de-DE"/>
        </a:p>
      </dgm:t>
    </dgm:pt>
  </dgm:ptLst>
  <dgm:cxnLst>
    <dgm:cxn modelId="{1DF73B3E-1AA8-40E9-B225-700F479AE467}" srcId="{D197717F-10A2-4257-B06E-E854FE7E73F9}" destId="{8262ACAC-677B-4255-AC89-549466F68CCF}" srcOrd="2" destOrd="0" parTransId="{E17BC66E-8CFE-423A-8DDD-3101D61CFF6E}" sibTransId="{20AF7390-9A19-4193-BB98-0FD2439FA101}"/>
    <dgm:cxn modelId="{2A41743F-E17B-4C9A-8E97-BBA41B413778}" srcId="{D197717F-10A2-4257-B06E-E854FE7E73F9}" destId="{9BF72A31-D199-45F2-9AE0-6628C3F058BB}" srcOrd="0" destOrd="0" parTransId="{FCB2B5D7-D300-496B-8932-6412D5D49826}" sibTransId="{7FA2EFDC-22D5-4CB5-ADA1-230783C5E22D}"/>
    <dgm:cxn modelId="{20B8A320-011E-4E62-9B8F-8A4F7913084D}" type="presOf" srcId="{95D6C31E-4DC7-48BE-8638-05A553662AF2}" destId="{D6EC97AD-D34D-474F-B892-D72CF5C3B3FF}" srcOrd="0" destOrd="0" presId="urn:microsoft.com/office/officeart/2009/3/layout/StepUpProcess"/>
    <dgm:cxn modelId="{52B445B0-22A5-4DBB-80CC-EF6ECC0A9C53}" srcId="{D197717F-10A2-4257-B06E-E854FE7E73F9}" destId="{95D6C31E-4DC7-48BE-8638-05A553662AF2}" srcOrd="3" destOrd="0" parTransId="{7BBAE20E-9330-49DA-83C2-B9FDCEC2643A}" sibTransId="{9BBBF69B-CCCF-455C-ACCE-6436C6CA344D}"/>
    <dgm:cxn modelId="{B31CF469-37A8-4F49-A628-D2DE75D10464}" type="presOf" srcId="{D197717F-10A2-4257-B06E-E854FE7E73F9}" destId="{4FFE4C59-6D9F-4D44-9822-3DEDD8563249}" srcOrd="0" destOrd="0" presId="urn:microsoft.com/office/officeart/2009/3/layout/StepUpProcess"/>
    <dgm:cxn modelId="{E085A974-D70F-4CF8-A8E6-C6FE1518B34E}" type="presOf" srcId="{8262ACAC-677B-4255-AC89-549466F68CCF}" destId="{349DD92A-45B7-4E7A-9AFD-FA83FE7869DD}" srcOrd="0" destOrd="0" presId="urn:microsoft.com/office/officeart/2009/3/layout/StepUpProcess"/>
    <dgm:cxn modelId="{05D29D8E-833B-48F9-BB4F-8EF405B90EAE}" srcId="{D197717F-10A2-4257-B06E-E854FE7E73F9}" destId="{3C4D972B-F4E6-4D11-A984-AB6BBA4E7A0B}" srcOrd="1" destOrd="0" parTransId="{64B2B840-BF7E-44F0-88D9-A46E26CCE966}" sibTransId="{79FD6363-CAAB-4AEE-89C3-FAAE0EF45015}"/>
    <dgm:cxn modelId="{419A4A57-11D4-4C3F-9602-B83FED614AB4}" type="presOf" srcId="{9BF72A31-D199-45F2-9AE0-6628C3F058BB}" destId="{FE8E9097-90E7-4BF9-8CD8-4A035189F9AC}" srcOrd="0" destOrd="0" presId="urn:microsoft.com/office/officeart/2009/3/layout/StepUpProcess"/>
    <dgm:cxn modelId="{0E161DA3-25F6-4BD1-9F44-5C956C78AA29}" type="presOf" srcId="{3C4D972B-F4E6-4D11-A984-AB6BBA4E7A0B}" destId="{00E4865E-85A4-44D1-84FA-BC9659FED51D}" srcOrd="0" destOrd="0" presId="urn:microsoft.com/office/officeart/2009/3/layout/StepUpProcess"/>
    <dgm:cxn modelId="{02CB1697-B91B-48CE-8022-40CE70B74901}" type="presParOf" srcId="{4FFE4C59-6D9F-4D44-9822-3DEDD8563249}" destId="{B4113BF8-B0BE-40AF-9568-7309C145D423}" srcOrd="0" destOrd="0" presId="urn:microsoft.com/office/officeart/2009/3/layout/StepUpProcess"/>
    <dgm:cxn modelId="{1C32BDF0-2246-4B32-8B57-558B17CCAD25}" type="presParOf" srcId="{B4113BF8-B0BE-40AF-9568-7309C145D423}" destId="{16872466-3FA3-4917-A440-25313E7DB2E2}" srcOrd="0" destOrd="0" presId="urn:microsoft.com/office/officeart/2009/3/layout/StepUpProcess"/>
    <dgm:cxn modelId="{DF43FCA7-59E4-45B1-9D75-534C2FE564B0}" type="presParOf" srcId="{B4113BF8-B0BE-40AF-9568-7309C145D423}" destId="{FE8E9097-90E7-4BF9-8CD8-4A035189F9AC}" srcOrd="1" destOrd="0" presId="urn:microsoft.com/office/officeart/2009/3/layout/StepUpProcess"/>
    <dgm:cxn modelId="{82A20AC3-405C-4A49-92A9-95DF3B95C27C}" type="presParOf" srcId="{B4113BF8-B0BE-40AF-9568-7309C145D423}" destId="{03CA79AB-2FEC-495D-9AAB-90697A955D0A}" srcOrd="2" destOrd="0" presId="urn:microsoft.com/office/officeart/2009/3/layout/StepUpProcess"/>
    <dgm:cxn modelId="{57B0F517-8C1C-48C3-A8F0-8B2758A5DBCD}" type="presParOf" srcId="{4FFE4C59-6D9F-4D44-9822-3DEDD8563249}" destId="{F07B9476-B6BF-4968-9B64-A8852F954F9E}" srcOrd="1" destOrd="0" presId="urn:microsoft.com/office/officeart/2009/3/layout/StepUpProcess"/>
    <dgm:cxn modelId="{55A9442F-42E2-4BE2-8EBD-CB668AEC6380}" type="presParOf" srcId="{F07B9476-B6BF-4968-9B64-A8852F954F9E}" destId="{7FB67384-2371-4328-AA16-05CFF486E9E5}" srcOrd="0" destOrd="0" presId="urn:microsoft.com/office/officeart/2009/3/layout/StepUpProcess"/>
    <dgm:cxn modelId="{F3BA7E1A-7883-4E68-8FC1-3EF20B75E30F}" type="presParOf" srcId="{4FFE4C59-6D9F-4D44-9822-3DEDD8563249}" destId="{C6845B11-52B4-41BD-A0B7-8AA287BCF1BB}" srcOrd="2" destOrd="0" presId="urn:microsoft.com/office/officeart/2009/3/layout/StepUpProcess"/>
    <dgm:cxn modelId="{4ED9EBFB-C5CE-4054-A89C-F632C193F560}" type="presParOf" srcId="{C6845B11-52B4-41BD-A0B7-8AA287BCF1BB}" destId="{6738532F-1F0B-404A-BE8A-3D39F5F2AB79}" srcOrd="0" destOrd="0" presId="urn:microsoft.com/office/officeart/2009/3/layout/StepUpProcess"/>
    <dgm:cxn modelId="{E547C1C9-E806-405E-823F-B3470540EA37}" type="presParOf" srcId="{C6845B11-52B4-41BD-A0B7-8AA287BCF1BB}" destId="{00E4865E-85A4-44D1-84FA-BC9659FED51D}" srcOrd="1" destOrd="0" presId="urn:microsoft.com/office/officeart/2009/3/layout/StepUpProcess"/>
    <dgm:cxn modelId="{C055AD32-61AE-4959-AC0B-DC817DD60E7C}" type="presParOf" srcId="{C6845B11-52B4-41BD-A0B7-8AA287BCF1BB}" destId="{806B9137-B6AD-4647-AA3E-564B304AEC96}" srcOrd="2" destOrd="0" presId="urn:microsoft.com/office/officeart/2009/3/layout/StepUpProcess"/>
    <dgm:cxn modelId="{7DAFB023-B220-4737-A6FE-D3031A30309C}" type="presParOf" srcId="{4FFE4C59-6D9F-4D44-9822-3DEDD8563249}" destId="{5EADC4F0-89C1-4D3F-A7C8-46D687A15829}" srcOrd="3" destOrd="0" presId="urn:microsoft.com/office/officeart/2009/3/layout/StepUpProcess"/>
    <dgm:cxn modelId="{4BDD7BD6-BCCB-4D54-B3D2-6408E6126946}" type="presParOf" srcId="{5EADC4F0-89C1-4D3F-A7C8-46D687A15829}" destId="{0D138EB8-A98E-4C35-8DE5-858589984338}" srcOrd="0" destOrd="0" presId="urn:microsoft.com/office/officeart/2009/3/layout/StepUpProcess"/>
    <dgm:cxn modelId="{6B8FB490-2875-4C94-9793-2807D5A79A16}" type="presParOf" srcId="{4FFE4C59-6D9F-4D44-9822-3DEDD8563249}" destId="{29AB194A-F4AB-432A-92D7-1E4412EF499D}" srcOrd="4" destOrd="0" presId="urn:microsoft.com/office/officeart/2009/3/layout/StepUpProcess"/>
    <dgm:cxn modelId="{7F0AF3B5-74C1-494C-8F39-D25E2D9704FB}" type="presParOf" srcId="{29AB194A-F4AB-432A-92D7-1E4412EF499D}" destId="{7C57DEB1-A660-4526-BB6D-0989E3180B1B}" srcOrd="0" destOrd="0" presId="urn:microsoft.com/office/officeart/2009/3/layout/StepUpProcess"/>
    <dgm:cxn modelId="{90AC1BB2-13FE-48CF-BA00-474DD72EE7D8}" type="presParOf" srcId="{29AB194A-F4AB-432A-92D7-1E4412EF499D}" destId="{349DD92A-45B7-4E7A-9AFD-FA83FE7869DD}" srcOrd="1" destOrd="0" presId="urn:microsoft.com/office/officeart/2009/3/layout/StepUpProcess"/>
    <dgm:cxn modelId="{AA6D35F0-35B8-4934-93B5-1FA0BE239D4F}" type="presParOf" srcId="{29AB194A-F4AB-432A-92D7-1E4412EF499D}" destId="{370F4369-846B-4CB8-BD3B-7FE3A770C5B9}" srcOrd="2" destOrd="0" presId="urn:microsoft.com/office/officeart/2009/3/layout/StepUpProcess"/>
    <dgm:cxn modelId="{59BA8914-5238-4853-8657-F3FE52BD3ECE}" type="presParOf" srcId="{4FFE4C59-6D9F-4D44-9822-3DEDD8563249}" destId="{B029FA0A-4E8F-4C93-8F63-9CF1C505749F}" srcOrd="5" destOrd="0" presId="urn:microsoft.com/office/officeart/2009/3/layout/StepUpProcess"/>
    <dgm:cxn modelId="{3D003E23-7022-4FA3-9EC9-F2D67E3988C5}" type="presParOf" srcId="{B029FA0A-4E8F-4C93-8F63-9CF1C505749F}" destId="{7A0E59CF-310A-4C61-AF2D-2210E9BED7A4}" srcOrd="0" destOrd="0" presId="urn:microsoft.com/office/officeart/2009/3/layout/StepUpProcess"/>
    <dgm:cxn modelId="{2D693EAE-5D51-4871-8D25-16A76CF1BA17}" type="presParOf" srcId="{4FFE4C59-6D9F-4D44-9822-3DEDD8563249}" destId="{2C562D50-2909-4319-B6BB-E38740AB38D5}" srcOrd="6" destOrd="0" presId="urn:microsoft.com/office/officeart/2009/3/layout/StepUpProcess"/>
    <dgm:cxn modelId="{E49A57DB-9D8A-41F1-B347-10E4AD5569CA}" type="presParOf" srcId="{2C562D50-2909-4319-B6BB-E38740AB38D5}" destId="{7F7F7750-D146-4A33-8288-1383AD6A2DD1}" srcOrd="0" destOrd="0" presId="urn:microsoft.com/office/officeart/2009/3/layout/StepUpProcess"/>
    <dgm:cxn modelId="{22202B17-B485-4DBD-8C24-3A0072E4552B}" type="presParOf" srcId="{2C562D50-2909-4319-B6BB-E38740AB38D5}" destId="{D6EC97AD-D34D-474F-B892-D72CF5C3B3FF}" srcOrd="1" destOrd="0" presId="urn:microsoft.com/office/officeart/2009/3/layout/StepUp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872466-3FA3-4917-A440-25313E7DB2E2}">
      <dsp:nvSpPr>
        <dsp:cNvPr id="0" name=""/>
        <dsp:cNvSpPr/>
      </dsp:nvSpPr>
      <dsp:spPr>
        <a:xfrm rot="5400000">
          <a:off x="556979" y="1378465"/>
          <a:ext cx="1265133" cy="2388978"/>
        </a:xfrm>
        <a:prstGeom prst="corner">
          <a:avLst>
            <a:gd name="adj1" fmla="val 16120"/>
            <a:gd name="adj2" fmla="val 16110"/>
          </a:avLst>
        </a:prstGeom>
        <a:solidFill>
          <a:srgbClr val="02395F"/>
        </a:solidFill>
        <a:ln w="25400" cap="flat" cmpd="sng" algn="ctr">
          <a:solidFill>
            <a:srgbClr val="02395F"/>
          </a:solidFill>
          <a:prstDash val="solid"/>
        </a:ln>
        <a:effectLst/>
      </dsp:spPr>
      <dsp:style>
        <a:lnRef idx="2">
          <a:scrgbClr r="0" g="0" b="0"/>
        </a:lnRef>
        <a:fillRef idx="1">
          <a:scrgbClr r="0" g="0" b="0"/>
        </a:fillRef>
        <a:effectRef idx="0">
          <a:scrgbClr r="0" g="0" b="0"/>
        </a:effectRef>
        <a:fontRef idx="minor">
          <a:schemeClr val="lt1"/>
        </a:fontRef>
      </dsp:style>
    </dsp:sp>
    <dsp:sp modelId="{FE8E9097-90E7-4BF9-8CD8-4A035189F9AC}">
      <dsp:nvSpPr>
        <dsp:cNvPr id="0" name=""/>
        <dsp:cNvSpPr/>
      </dsp:nvSpPr>
      <dsp:spPr>
        <a:xfrm>
          <a:off x="201052" y="1476950"/>
          <a:ext cx="2187495" cy="16624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106680" numCol="1" spcCol="1270" anchor="t" anchorCtr="0">
          <a:noAutofit/>
        </a:bodyPr>
        <a:lstStyle/>
        <a:p>
          <a:pPr lvl="0" algn="l" defTabSz="1244600">
            <a:lnSpc>
              <a:spcPct val="90000"/>
            </a:lnSpc>
            <a:spcBef>
              <a:spcPct val="0"/>
            </a:spcBef>
            <a:spcAft>
              <a:spcPct val="35000"/>
            </a:spcAft>
          </a:pPr>
          <a:r>
            <a:rPr lang="de-DE" sz="2800" b="1" kern="1200">
              <a:solidFill>
                <a:srgbClr val="CE0044"/>
              </a:solidFill>
              <a:latin typeface="DaxCondensed-Regular" panose="02000506020000020004" pitchFamily="2" charset="0"/>
            </a:rPr>
            <a:t>Stufe 1</a:t>
          </a:r>
        </a:p>
        <a:p>
          <a:pPr lvl="0" algn="just" defTabSz="1244600">
            <a:lnSpc>
              <a:spcPct val="90000"/>
            </a:lnSpc>
            <a:spcBef>
              <a:spcPct val="0"/>
            </a:spcBef>
            <a:spcAft>
              <a:spcPct val="35000"/>
            </a:spcAft>
          </a:pPr>
          <a:endParaRPr lang="de-DE" sz="500" b="1" kern="1200">
            <a:latin typeface="DaxCondensed-Regular" panose="02000506020000020004" pitchFamily="2" charset="0"/>
          </a:endParaRPr>
        </a:p>
        <a:p>
          <a:pPr lvl="0" algn="just" defTabSz="1244600">
            <a:lnSpc>
              <a:spcPct val="90000"/>
            </a:lnSpc>
            <a:spcBef>
              <a:spcPct val="0"/>
            </a:spcBef>
            <a:spcAft>
              <a:spcPct val="35000"/>
            </a:spcAft>
          </a:pPr>
          <a:r>
            <a:rPr lang="de-DE" sz="1100" b="1" kern="1200">
              <a:latin typeface="DaxCondensed-Regular" panose="02000506020000020004" pitchFamily="2" charset="0"/>
            </a:rPr>
            <a:t>Bargeld &amp; Einkauf: </a:t>
          </a:r>
        </a:p>
        <a:p>
          <a:pPr lvl="0" algn="just" defTabSz="1244600">
            <a:lnSpc>
              <a:spcPct val="90000"/>
            </a:lnSpc>
            <a:spcBef>
              <a:spcPct val="0"/>
            </a:spcBef>
            <a:spcAft>
              <a:spcPct val="35000"/>
            </a:spcAft>
          </a:pPr>
          <a:r>
            <a:rPr lang="de-DE" sz="1100" kern="1200">
              <a:latin typeface="DaxCondensed-Regular" panose="02000506020000020004" pitchFamily="2" charset="0"/>
            </a:rPr>
            <a:t>Der Bewohner erhält kein Bargeld. Ein bargeldloser Einkauf in unserem Café Sorgenfrei bzw. am Kiosk ist möglich. Das Budget wird vom Haus festgelegt.</a:t>
          </a:r>
        </a:p>
        <a:p>
          <a:pPr lvl="0" algn="just" defTabSz="1244600">
            <a:lnSpc>
              <a:spcPct val="90000"/>
            </a:lnSpc>
            <a:spcBef>
              <a:spcPct val="0"/>
            </a:spcBef>
            <a:spcAft>
              <a:spcPct val="35000"/>
            </a:spcAft>
          </a:pPr>
          <a:endParaRPr lang="de-DE" sz="200" kern="1200">
            <a:latin typeface="DaxCondensed-Regular" panose="02000506020000020004" pitchFamily="2" charset="0"/>
          </a:endParaRPr>
        </a:p>
        <a:p>
          <a:pPr lvl="0" algn="just" defTabSz="1244600">
            <a:lnSpc>
              <a:spcPct val="90000"/>
            </a:lnSpc>
            <a:spcBef>
              <a:spcPct val="0"/>
            </a:spcBef>
            <a:spcAft>
              <a:spcPct val="35000"/>
            </a:spcAft>
          </a:pPr>
          <a:r>
            <a:rPr lang="de-DE" sz="1100" b="1" kern="1200">
              <a:latin typeface="DaxCondensed-Regular" panose="02000506020000020004" pitchFamily="2" charset="0"/>
            </a:rPr>
            <a:t>Ausgang: </a:t>
          </a:r>
        </a:p>
        <a:p>
          <a:pPr lvl="0" algn="just" defTabSz="1244600">
            <a:lnSpc>
              <a:spcPct val="90000"/>
            </a:lnSpc>
            <a:spcBef>
              <a:spcPct val="0"/>
            </a:spcBef>
            <a:spcAft>
              <a:spcPct val="35000"/>
            </a:spcAft>
          </a:pPr>
          <a:r>
            <a:rPr lang="de-DE" sz="1100" kern="1200">
              <a:latin typeface="DaxCondensed-Regular" panose="02000506020000020004" pitchFamily="2" charset="0"/>
            </a:rPr>
            <a:t>Der Bewohner erhält alleine keinen Ausgang. Er kann sich frei auf dem Heimgelände/ der Parkanlage bewegen. </a:t>
          </a:r>
        </a:p>
        <a:p>
          <a:pPr lvl="0" algn="just" defTabSz="1244600">
            <a:lnSpc>
              <a:spcPct val="90000"/>
            </a:lnSpc>
            <a:spcBef>
              <a:spcPct val="0"/>
            </a:spcBef>
            <a:spcAft>
              <a:spcPct val="35000"/>
            </a:spcAft>
          </a:pPr>
          <a:endParaRPr lang="de-DE" sz="200" kern="1200">
            <a:latin typeface="DaxCondensed-Regular" panose="02000506020000020004" pitchFamily="2" charset="0"/>
          </a:endParaRPr>
        </a:p>
        <a:p>
          <a:pPr lvl="0" algn="just" defTabSz="1244600">
            <a:lnSpc>
              <a:spcPct val="90000"/>
            </a:lnSpc>
            <a:spcBef>
              <a:spcPct val="0"/>
            </a:spcBef>
            <a:spcAft>
              <a:spcPct val="35000"/>
            </a:spcAft>
          </a:pPr>
          <a:r>
            <a:rPr lang="de-DE" sz="1100" b="1" kern="1200">
              <a:latin typeface="DaxCondensed-Regular" panose="02000506020000020004" pitchFamily="2" charset="0"/>
            </a:rPr>
            <a:t>Alkohol- und Drogentest: </a:t>
          </a:r>
        </a:p>
        <a:p>
          <a:pPr lvl="0" algn="l" defTabSz="1244600">
            <a:lnSpc>
              <a:spcPct val="90000"/>
            </a:lnSpc>
            <a:spcBef>
              <a:spcPct val="0"/>
            </a:spcBef>
            <a:spcAft>
              <a:spcPct val="35000"/>
            </a:spcAft>
          </a:pPr>
          <a:r>
            <a:rPr lang="de-DE" sz="1100" kern="1200">
              <a:latin typeface="DaxCondensed-Regular" panose="02000506020000020004" pitchFamily="2" charset="0"/>
            </a:rPr>
            <a:t>Mehrmals täglich Atemalkoholtests möglich.</a:t>
          </a:r>
        </a:p>
        <a:p>
          <a:pPr lvl="0" algn="l" defTabSz="1244600">
            <a:lnSpc>
              <a:spcPct val="90000"/>
            </a:lnSpc>
            <a:spcBef>
              <a:spcPct val="0"/>
            </a:spcBef>
            <a:spcAft>
              <a:spcPct val="35000"/>
            </a:spcAft>
          </a:pPr>
          <a:r>
            <a:rPr lang="de-DE" sz="1100" kern="1200">
              <a:latin typeface="DaxCondensed-Regular" panose="02000506020000020004" pitchFamily="2" charset="0"/>
            </a:rPr>
            <a:t>Drogenschnelltest sind täglich möglich.</a:t>
          </a:r>
        </a:p>
        <a:p>
          <a:pPr lvl="0" algn="l" defTabSz="1244600">
            <a:lnSpc>
              <a:spcPct val="90000"/>
            </a:lnSpc>
            <a:spcBef>
              <a:spcPct val="0"/>
            </a:spcBef>
            <a:spcAft>
              <a:spcPct val="35000"/>
            </a:spcAft>
          </a:pPr>
          <a:r>
            <a:rPr lang="de-DE" sz="1100" kern="1200">
              <a:latin typeface="DaxCondensed-Regular" panose="02000506020000020004" pitchFamily="2" charset="0"/>
            </a:rPr>
            <a:t>Urin (Alkohol u. Drogen) Labor-Test nach Bedarf, bzw. wenn ein Drogen-Schnelltest positiv anschlägt. Bei positivem Testergebnis trägt der Bewohner die Kosten des Tests.</a:t>
          </a:r>
        </a:p>
        <a:p>
          <a:pPr lvl="0" algn="l" defTabSz="1244600">
            <a:lnSpc>
              <a:spcPct val="90000"/>
            </a:lnSpc>
            <a:spcBef>
              <a:spcPct val="0"/>
            </a:spcBef>
            <a:spcAft>
              <a:spcPct val="35000"/>
            </a:spcAft>
          </a:pPr>
          <a:r>
            <a:rPr lang="de-DE" sz="1100" kern="1200">
              <a:latin typeface="DaxCondensed-Regular" panose="02000506020000020004" pitchFamily="2" charset="0"/>
            </a:rPr>
            <a:t>Teilnahme an der </a:t>
          </a:r>
          <a:r>
            <a:rPr lang="de-DE" sz="1100" b="1" kern="1200">
              <a:latin typeface="DaxCondensed-Regular" panose="02000506020000020004" pitchFamily="2" charset="0"/>
            </a:rPr>
            <a:t>AA-Sitzung</a:t>
          </a:r>
        </a:p>
      </dsp:txBody>
      <dsp:txXfrm>
        <a:off x="201052" y="1476950"/>
        <a:ext cx="2187495" cy="1662492"/>
      </dsp:txXfrm>
    </dsp:sp>
    <dsp:sp modelId="{03CA79AB-2FEC-495D-9AAB-90697A955D0A}">
      <dsp:nvSpPr>
        <dsp:cNvPr id="0" name=""/>
        <dsp:cNvSpPr/>
      </dsp:nvSpPr>
      <dsp:spPr>
        <a:xfrm>
          <a:off x="2011822" y="1499022"/>
          <a:ext cx="358363" cy="358363"/>
        </a:xfrm>
        <a:prstGeom prst="triangle">
          <a:avLst>
            <a:gd name="adj" fmla="val 100000"/>
          </a:avLst>
        </a:prstGeom>
        <a:solidFill>
          <a:srgbClr val="02395F"/>
        </a:solidFill>
        <a:ln w="25400" cap="flat" cmpd="sng" algn="ctr">
          <a:solidFill>
            <a:srgbClr val="02395F"/>
          </a:solidFill>
          <a:prstDash val="solid"/>
        </a:ln>
        <a:effectLst/>
      </dsp:spPr>
      <dsp:style>
        <a:lnRef idx="2">
          <a:scrgbClr r="0" g="0" b="0"/>
        </a:lnRef>
        <a:fillRef idx="1">
          <a:scrgbClr r="0" g="0" b="0"/>
        </a:fillRef>
        <a:effectRef idx="0">
          <a:scrgbClr r="0" g="0" b="0"/>
        </a:effectRef>
        <a:fontRef idx="minor">
          <a:schemeClr val="lt1"/>
        </a:fontRef>
      </dsp:style>
    </dsp:sp>
    <dsp:sp modelId="{6738532F-1F0B-404A-BE8A-3D39F5F2AB79}">
      <dsp:nvSpPr>
        <dsp:cNvPr id="0" name=""/>
        <dsp:cNvSpPr/>
      </dsp:nvSpPr>
      <dsp:spPr>
        <a:xfrm rot="5400000">
          <a:off x="3051734" y="851181"/>
          <a:ext cx="1266094" cy="2468439"/>
        </a:xfrm>
        <a:prstGeom prst="corner">
          <a:avLst>
            <a:gd name="adj1" fmla="val 16120"/>
            <a:gd name="adj2" fmla="val 16110"/>
          </a:avLst>
        </a:prstGeom>
        <a:solidFill>
          <a:srgbClr val="02395F"/>
        </a:solidFill>
        <a:ln w="25400" cap="flat" cmpd="sng" algn="ctr">
          <a:solidFill>
            <a:srgbClr val="02395F"/>
          </a:solidFill>
          <a:prstDash val="solid"/>
        </a:ln>
        <a:effectLst/>
      </dsp:spPr>
      <dsp:style>
        <a:lnRef idx="2">
          <a:scrgbClr r="0" g="0" b="0"/>
        </a:lnRef>
        <a:fillRef idx="1">
          <a:scrgbClr r="0" g="0" b="0"/>
        </a:fillRef>
        <a:effectRef idx="0">
          <a:scrgbClr r="0" g="0" b="0"/>
        </a:effectRef>
        <a:fontRef idx="minor">
          <a:schemeClr val="lt1"/>
        </a:fontRef>
      </dsp:style>
    </dsp:sp>
    <dsp:sp modelId="{00E4865E-85A4-44D1-84FA-BC9659FED51D}">
      <dsp:nvSpPr>
        <dsp:cNvPr id="0" name=""/>
        <dsp:cNvSpPr/>
      </dsp:nvSpPr>
      <dsp:spPr>
        <a:xfrm>
          <a:off x="2675868" y="987421"/>
          <a:ext cx="2187495" cy="16661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106680" numCol="1" spcCol="1270" anchor="t" anchorCtr="0">
          <a:noAutofit/>
        </a:bodyPr>
        <a:lstStyle/>
        <a:p>
          <a:pPr lvl="0" algn="l" defTabSz="1244600">
            <a:lnSpc>
              <a:spcPct val="90000"/>
            </a:lnSpc>
            <a:spcBef>
              <a:spcPct val="0"/>
            </a:spcBef>
            <a:spcAft>
              <a:spcPct val="35000"/>
            </a:spcAft>
          </a:pPr>
          <a:r>
            <a:rPr lang="de-DE" sz="2800" b="1" kern="1200">
              <a:solidFill>
                <a:srgbClr val="CE0044"/>
              </a:solidFill>
              <a:latin typeface="DaxCondensed-Regular" panose="02000506020000020004" pitchFamily="2" charset="0"/>
            </a:rPr>
            <a:t>Stufe 2</a:t>
          </a:r>
        </a:p>
        <a:p>
          <a:pPr lvl="0" algn="just" defTabSz="1244600">
            <a:lnSpc>
              <a:spcPct val="90000"/>
            </a:lnSpc>
            <a:spcBef>
              <a:spcPct val="0"/>
            </a:spcBef>
            <a:spcAft>
              <a:spcPct val="35000"/>
            </a:spcAft>
          </a:pPr>
          <a:endParaRPr lang="de-DE" sz="500" b="1" kern="1200">
            <a:latin typeface="DaxCondensed-Regular" panose="02000506020000020004" pitchFamily="2" charset="0"/>
          </a:endParaRPr>
        </a:p>
        <a:p>
          <a:pPr lvl="0" algn="just" defTabSz="1244600">
            <a:lnSpc>
              <a:spcPct val="90000"/>
            </a:lnSpc>
            <a:spcBef>
              <a:spcPct val="0"/>
            </a:spcBef>
            <a:spcAft>
              <a:spcPct val="35000"/>
            </a:spcAft>
          </a:pPr>
          <a:r>
            <a:rPr lang="de-DE" sz="1100" b="1" kern="1200">
              <a:latin typeface="DaxCondensed-Regular" panose="02000506020000020004" pitchFamily="2" charset="0"/>
            </a:rPr>
            <a:t>Bargeld &amp; Einkauf: </a:t>
          </a:r>
        </a:p>
        <a:p>
          <a:pPr lvl="0" algn="just" defTabSz="1244600">
            <a:lnSpc>
              <a:spcPct val="90000"/>
            </a:lnSpc>
            <a:spcBef>
              <a:spcPct val="0"/>
            </a:spcBef>
            <a:spcAft>
              <a:spcPct val="35000"/>
            </a:spcAft>
          </a:pPr>
          <a:r>
            <a:rPr lang="de-DE" sz="1100" kern="1200">
              <a:latin typeface="DaxCondensed-Regular" panose="02000506020000020004" pitchFamily="2" charset="0"/>
            </a:rPr>
            <a:t>Der Bewohner erhält i.d.R. jeden Dienstag sein Bargeld. Das Geld ver-bleibt im Portmonnaie des Bewohners auf dem Wohnbereich. Dort kann es abgerufen werden, um im Café / am Kiosk einzukaufen oder bei ange-botenen Einkaufsfahrten des Wohn-bereichs mit dem Personal ausge-geben zu werden. Restgeld und Be-lege müssen beim Personal vorge-zeigt werden. Es ist berechtigt,  stich-probenartige Taschen- und Zimmer-kontrollen durchzuführen. </a:t>
          </a:r>
        </a:p>
        <a:p>
          <a:pPr lvl="0" algn="just" defTabSz="1244600">
            <a:lnSpc>
              <a:spcPct val="90000"/>
            </a:lnSpc>
            <a:spcBef>
              <a:spcPct val="0"/>
            </a:spcBef>
            <a:spcAft>
              <a:spcPct val="35000"/>
            </a:spcAft>
          </a:pPr>
          <a:endParaRPr lang="de-DE" sz="200" b="1" kern="1200">
            <a:latin typeface="DaxCondensed-Regular" panose="02000506020000020004" pitchFamily="2" charset="0"/>
          </a:endParaRPr>
        </a:p>
        <a:p>
          <a:pPr lvl="0" algn="just" defTabSz="1244600">
            <a:lnSpc>
              <a:spcPct val="90000"/>
            </a:lnSpc>
            <a:spcBef>
              <a:spcPct val="0"/>
            </a:spcBef>
            <a:spcAft>
              <a:spcPct val="35000"/>
            </a:spcAft>
          </a:pPr>
          <a:r>
            <a:rPr lang="de-DE" sz="1100" b="1" kern="1200">
              <a:latin typeface="DaxCondensed-Regular" panose="02000506020000020004" pitchFamily="2" charset="0"/>
            </a:rPr>
            <a:t>Ausgang: </a:t>
          </a:r>
        </a:p>
        <a:p>
          <a:pPr lvl="0" algn="just" defTabSz="1244600">
            <a:lnSpc>
              <a:spcPct val="90000"/>
            </a:lnSpc>
            <a:spcBef>
              <a:spcPct val="0"/>
            </a:spcBef>
            <a:spcAft>
              <a:spcPct val="35000"/>
            </a:spcAft>
          </a:pPr>
          <a:r>
            <a:rPr lang="de-DE" sz="1100" kern="1200">
              <a:latin typeface="DaxCondensed-Regular" panose="02000506020000020004" pitchFamily="2" charset="0"/>
            </a:rPr>
            <a:t>Der Bewohner erhält alleine keinen Ausgang. Es findet eine wöchentlich angebotene Einkaufsfahrt mit dem Personal statt.</a:t>
          </a:r>
        </a:p>
        <a:p>
          <a:pPr lvl="0" algn="just" defTabSz="1244600">
            <a:lnSpc>
              <a:spcPct val="90000"/>
            </a:lnSpc>
            <a:spcBef>
              <a:spcPct val="0"/>
            </a:spcBef>
            <a:spcAft>
              <a:spcPct val="35000"/>
            </a:spcAft>
          </a:pPr>
          <a:endParaRPr lang="de-DE" sz="200" kern="1200">
            <a:latin typeface="DaxCondensed-Regular" panose="02000506020000020004" pitchFamily="2" charset="0"/>
          </a:endParaRPr>
        </a:p>
        <a:p>
          <a:pPr lvl="0" algn="just" defTabSz="1244600">
            <a:lnSpc>
              <a:spcPct val="90000"/>
            </a:lnSpc>
            <a:spcBef>
              <a:spcPct val="0"/>
            </a:spcBef>
            <a:spcAft>
              <a:spcPct val="35000"/>
            </a:spcAft>
          </a:pPr>
          <a:r>
            <a:rPr lang="de-DE" sz="1100" b="1" kern="1200">
              <a:latin typeface="DaxCondensed-Regular" panose="02000506020000020004" pitchFamily="2" charset="0"/>
            </a:rPr>
            <a:t>Alkohol- und Drogentest: </a:t>
          </a:r>
        </a:p>
        <a:p>
          <a:pPr lvl="0" algn="just" defTabSz="1244600">
            <a:lnSpc>
              <a:spcPct val="90000"/>
            </a:lnSpc>
            <a:spcBef>
              <a:spcPct val="0"/>
            </a:spcBef>
            <a:spcAft>
              <a:spcPct val="35000"/>
            </a:spcAft>
          </a:pPr>
          <a:r>
            <a:rPr lang="de-DE" sz="1100" i="0" kern="1200">
              <a:latin typeface="DaxCondensed-Regular" panose="02000506020000020004" pitchFamily="2" charset="0"/>
            </a:rPr>
            <a:t>Analog zu Stufe 1</a:t>
          </a:r>
        </a:p>
        <a:p>
          <a:pPr lvl="0" algn="just" defTabSz="1244600">
            <a:lnSpc>
              <a:spcPct val="90000"/>
            </a:lnSpc>
            <a:spcBef>
              <a:spcPct val="0"/>
            </a:spcBef>
            <a:spcAft>
              <a:spcPct val="35000"/>
            </a:spcAft>
          </a:pPr>
          <a:endParaRPr lang="de-DE" sz="1100" kern="1200">
            <a:latin typeface="DaxCondensed-Regular" panose="02000506020000020004" pitchFamily="2" charset="0"/>
          </a:endParaRPr>
        </a:p>
        <a:p>
          <a:pPr lvl="0" algn="just" defTabSz="1244600">
            <a:lnSpc>
              <a:spcPct val="90000"/>
            </a:lnSpc>
            <a:spcBef>
              <a:spcPct val="0"/>
            </a:spcBef>
            <a:spcAft>
              <a:spcPct val="35000"/>
            </a:spcAft>
          </a:pPr>
          <a:r>
            <a:rPr lang="de-DE" sz="1100" kern="1200">
              <a:latin typeface="DaxCondensed-Regular" panose="02000506020000020004" pitchFamily="2" charset="0"/>
            </a:rPr>
            <a:t>Teilnahme an der </a:t>
          </a:r>
          <a:r>
            <a:rPr lang="de-DE" sz="1100" b="1" kern="1200">
              <a:latin typeface="DaxCondensed-Regular" panose="02000506020000020004" pitchFamily="2" charset="0"/>
            </a:rPr>
            <a:t>AA-Sitzung</a:t>
          </a:r>
          <a:endParaRPr lang="de-DE" sz="1100" kern="1200">
            <a:latin typeface="DaxCondensed-Regular" panose="02000506020000020004" pitchFamily="2" charset="0"/>
          </a:endParaRPr>
        </a:p>
        <a:p>
          <a:pPr lvl="0" algn="l" defTabSz="1244600">
            <a:lnSpc>
              <a:spcPct val="90000"/>
            </a:lnSpc>
            <a:spcBef>
              <a:spcPct val="0"/>
            </a:spcBef>
            <a:spcAft>
              <a:spcPct val="35000"/>
            </a:spcAft>
          </a:pPr>
          <a:endParaRPr lang="de-DE" sz="500" kern="1200">
            <a:solidFill>
              <a:srgbClr val="CE0044"/>
            </a:solidFill>
            <a:latin typeface="DaxCondensed-Regular" panose="02000506020000020004" pitchFamily="2" charset="0"/>
          </a:endParaRPr>
        </a:p>
      </dsp:txBody>
      <dsp:txXfrm>
        <a:off x="2675868" y="987421"/>
        <a:ext cx="2187495" cy="1666138"/>
      </dsp:txXfrm>
    </dsp:sp>
    <dsp:sp modelId="{806B9137-B6AD-4647-AA3E-564B304AEC96}">
      <dsp:nvSpPr>
        <dsp:cNvPr id="0" name=""/>
        <dsp:cNvSpPr/>
      </dsp:nvSpPr>
      <dsp:spPr>
        <a:xfrm>
          <a:off x="4549084" y="1019318"/>
          <a:ext cx="358363" cy="358363"/>
        </a:xfrm>
        <a:prstGeom prst="triangle">
          <a:avLst>
            <a:gd name="adj" fmla="val 100000"/>
          </a:avLst>
        </a:prstGeom>
        <a:solidFill>
          <a:srgbClr val="02395F"/>
        </a:solidFill>
        <a:ln w="25400" cap="flat" cmpd="sng" algn="ctr">
          <a:solidFill>
            <a:srgbClr val="02395F"/>
          </a:solidFill>
          <a:prstDash val="solid"/>
        </a:ln>
        <a:effectLst/>
      </dsp:spPr>
      <dsp:style>
        <a:lnRef idx="2">
          <a:scrgbClr r="0" g="0" b="0"/>
        </a:lnRef>
        <a:fillRef idx="1">
          <a:scrgbClr r="0" g="0" b="0"/>
        </a:fillRef>
        <a:effectRef idx="0">
          <a:scrgbClr r="0" g="0" b="0"/>
        </a:effectRef>
        <a:fontRef idx="minor">
          <a:schemeClr val="lt1"/>
        </a:fontRef>
      </dsp:style>
    </dsp:sp>
    <dsp:sp modelId="{7C57DEB1-A660-4526-BB6D-0989E3180B1B}">
      <dsp:nvSpPr>
        <dsp:cNvPr id="0" name=""/>
        <dsp:cNvSpPr/>
      </dsp:nvSpPr>
      <dsp:spPr>
        <a:xfrm rot="5400000">
          <a:off x="5573098" y="398855"/>
          <a:ext cx="1263110" cy="2413130"/>
        </a:xfrm>
        <a:prstGeom prst="corner">
          <a:avLst>
            <a:gd name="adj1" fmla="val 16120"/>
            <a:gd name="adj2" fmla="val 16110"/>
          </a:avLst>
        </a:prstGeom>
        <a:solidFill>
          <a:srgbClr val="02395F"/>
        </a:solidFill>
        <a:ln w="25400" cap="flat" cmpd="sng" algn="ctr">
          <a:solidFill>
            <a:srgbClr val="02395F"/>
          </a:solidFill>
          <a:prstDash val="solid"/>
        </a:ln>
        <a:effectLst/>
      </dsp:spPr>
      <dsp:style>
        <a:lnRef idx="2">
          <a:scrgbClr r="0" g="0" b="0"/>
        </a:lnRef>
        <a:fillRef idx="1">
          <a:scrgbClr r="0" g="0" b="0"/>
        </a:fillRef>
        <a:effectRef idx="0">
          <a:scrgbClr r="0" g="0" b="0"/>
        </a:effectRef>
        <a:fontRef idx="minor">
          <a:schemeClr val="lt1"/>
        </a:fontRef>
      </dsp:style>
    </dsp:sp>
    <dsp:sp modelId="{349DD92A-45B7-4E7A-9AFD-FA83FE7869DD}">
      <dsp:nvSpPr>
        <dsp:cNvPr id="0" name=""/>
        <dsp:cNvSpPr/>
      </dsp:nvSpPr>
      <dsp:spPr>
        <a:xfrm>
          <a:off x="5216139" y="512103"/>
          <a:ext cx="2187495" cy="16661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106680" numCol="1" spcCol="1270" anchor="t" anchorCtr="0">
          <a:noAutofit/>
        </a:bodyPr>
        <a:lstStyle/>
        <a:p>
          <a:pPr lvl="0" algn="l" defTabSz="1244600">
            <a:lnSpc>
              <a:spcPct val="90000"/>
            </a:lnSpc>
            <a:spcBef>
              <a:spcPct val="0"/>
            </a:spcBef>
            <a:spcAft>
              <a:spcPct val="35000"/>
            </a:spcAft>
          </a:pPr>
          <a:r>
            <a:rPr lang="de-DE" sz="2800" b="1" kern="1200">
              <a:solidFill>
                <a:srgbClr val="CE0044"/>
              </a:solidFill>
              <a:latin typeface="DaxCondensed-Regular" panose="02000506020000020004" pitchFamily="2" charset="0"/>
            </a:rPr>
            <a:t>Stufe 3</a:t>
          </a:r>
        </a:p>
        <a:p>
          <a:pPr lvl="0" algn="just" defTabSz="1244600">
            <a:lnSpc>
              <a:spcPct val="90000"/>
            </a:lnSpc>
            <a:spcBef>
              <a:spcPct val="0"/>
            </a:spcBef>
            <a:spcAft>
              <a:spcPct val="35000"/>
            </a:spcAft>
          </a:pPr>
          <a:endParaRPr lang="de-DE" sz="500" b="1" kern="1200">
            <a:latin typeface="DaxCondensed-Regular" panose="02000506020000020004" pitchFamily="2" charset="0"/>
          </a:endParaRPr>
        </a:p>
        <a:p>
          <a:pPr lvl="0" algn="just" defTabSz="1244600">
            <a:lnSpc>
              <a:spcPct val="90000"/>
            </a:lnSpc>
            <a:spcBef>
              <a:spcPct val="0"/>
            </a:spcBef>
            <a:spcAft>
              <a:spcPct val="35000"/>
            </a:spcAft>
          </a:pPr>
          <a:r>
            <a:rPr lang="de-DE" sz="1100" b="1" kern="1200">
              <a:latin typeface="DaxCondensed-Regular" panose="02000506020000020004" pitchFamily="2" charset="0"/>
            </a:rPr>
            <a:t>Bargeld &amp; Einkauf: </a:t>
          </a:r>
        </a:p>
        <a:p>
          <a:pPr lvl="0" algn="just" defTabSz="1244600">
            <a:lnSpc>
              <a:spcPct val="90000"/>
            </a:lnSpc>
            <a:spcBef>
              <a:spcPct val="0"/>
            </a:spcBef>
            <a:spcAft>
              <a:spcPct val="35000"/>
            </a:spcAft>
          </a:pPr>
          <a:r>
            <a:rPr lang="de-DE" sz="1100" i="1" kern="1200">
              <a:latin typeface="DaxCondensed-Regular" panose="02000506020000020004" pitchFamily="2" charset="0"/>
            </a:rPr>
            <a:t>Analog zu Stufe 2 </a:t>
          </a:r>
        </a:p>
        <a:p>
          <a:pPr lvl="0" algn="just" defTabSz="1244600">
            <a:lnSpc>
              <a:spcPct val="90000"/>
            </a:lnSpc>
            <a:spcBef>
              <a:spcPct val="0"/>
            </a:spcBef>
            <a:spcAft>
              <a:spcPct val="35000"/>
            </a:spcAft>
          </a:pPr>
          <a:endParaRPr lang="de-DE" sz="200" kern="1200">
            <a:latin typeface="DaxCondensed-Regular" panose="02000506020000020004" pitchFamily="2" charset="0"/>
          </a:endParaRPr>
        </a:p>
        <a:p>
          <a:pPr lvl="0" algn="just" defTabSz="1244600">
            <a:lnSpc>
              <a:spcPct val="90000"/>
            </a:lnSpc>
            <a:spcBef>
              <a:spcPct val="0"/>
            </a:spcBef>
            <a:spcAft>
              <a:spcPct val="35000"/>
            </a:spcAft>
          </a:pPr>
          <a:r>
            <a:rPr lang="de-DE" sz="1100" b="1" kern="1200">
              <a:latin typeface="DaxCondensed-Regular" panose="02000506020000020004" pitchFamily="2" charset="0"/>
            </a:rPr>
            <a:t>Ausgang: </a:t>
          </a:r>
        </a:p>
        <a:p>
          <a:pPr lvl="0" algn="just" defTabSz="1244600">
            <a:lnSpc>
              <a:spcPct val="90000"/>
            </a:lnSpc>
            <a:spcBef>
              <a:spcPct val="0"/>
            </a:spcBef>
            <a:spcAft>
              <a:spcPct val="35000"/>
            </a:spcAft>
          </a:pPr>
          <a:r>
            <a:rPr lang="de-DE" sz="1100" kern="1200">
              <a:latin typeface="DaxCondensed-Regular" panose="02000506020000020004" pitchFamily="2" charset="0"/>
            </a:rPr>
            <a:t>Der Bewohner hat alleine Ausgang, jedoch nur außerhalb seiner Ar-beitszeit (zentrale und dezentrale Ar-beitstherapie) und seinen Verpflich-tungen innerhalb der Hausstruktur. Individuelle Absprachen mit dem Wohnbereich und dem Arbeitsplatz sind möglich.</a:t>
          </a:r>
        </a:p>
        <a:p>
          <a:pPr lvl="0" algn="just" defTabSz="1244600">
            <a:lnSpc>
              <a:spcPct val="90000"/>
            </a:lnSpc>
            <a:spcBef>
              <a:spcPct val="0"/>
            </a:spcBef>
            <a:spcAft>
              <a:spcPct val="35000"/>
            </a:spcAft>
          </a:pPr>
          <a:r>
            <a:rPr lang="de-DE" sz="1100" kern="1200">
              <a:latin typeface="DaxCondensed-Regular" panose="02000506020000020004" pitchFamily="2" charset="0"/>
            </a:rPr>
            <a:t>Grundsätzlich müssen sich die Be-wohner mündlich bei der AT und dem Wohnbereich selbstständig abmelden. Auf dem Wohnbereich erhalten sie einen An- und Abmeldezettel für die Pforte und müssen sich zusätzlich noch in einem Ausgangsbuch schrift-lich abmelden. Bei der Rückkehr ist es Pflicht, sich beim Personal zu melden und erneut im Ausgangsbuch gegen-zuzeichnen.</a:t>
          </a:r>
        </a:p>
        <a:p>
          <a:pPr lvl="0" algn="just" defTabSz="1244600">
            <a:lnSpc>
              <a:spcPct val="90000"/>
            </a:lnSpc>
            <a:spcBef>
              <a:spcPct val="0"/>
            </a:spcBef>
            <a:spcAft>
              <a:spcPct val="35000"/>
            </a:spcAft>
          </a:pPr>
          <a:endParaRPr lang="de-DE" sz="200" kern="1200">
            <a:latin typeface="DaxCondensed-Regular" panose="02000506020000020004" pitchFamily="2" charset="0"/>
          </a:endParaRPr>
        </a:p>
        <a:p>
          <a:pPr lvl="0" algn="just" defTabSz="1244600">
            <a:lnSpc>
              <a:spcPct val="90000"/>
            </a:lnSpc>
            <a:spcBef>
              <a:spcPct val="0"/>
            </a:spcBef>
            <a:spcAft>
              <a:spcPct val="35000"/>
            </a:spcAft>
          </a:pPr>
          <a:r>
            <a:rPr lang="de-DE" sz="1100" b="1" kern="1200">
              <a:latin typeface="DaxCondensed-Regular" panose="02000506020000020004" pitchFamily="2" charset="0"/>
            </a:rPr>
            <a:t>Alkohol- und Drogentest: </a:t>
          </a:r>
        </a:p>
        <a:p>
          <a:pPr lvl="0" algn="just" defTabSz="1244600">
            <a:lnSpc>
              <a:spcPct val="90000"/>
            </a:lnSpc>
            <a:spcBef>
              <a:spcPct val="0"/>
            </a:spcBef>
            <a:spcAft>
              <a:spcPct val="35000"/>
            </a:spcAft>
          </a:pPr>
          <a:r>
            <a:rPr lang="de-DE" sz="1100" i="0" kern="1200">
              <a:latin typeface="DaxCondensed-Regular" panose="02000506020000020004" pitchFamily="2" charset="0"/>
            </a:rPr>
            <a:t>Analog zu Stufe 1 + nach jedem Ausgang möglich</a:t>
          </a:r>
          <a:endParaRPr lang="de-DE" sz="1100" i="0" kern="1200">
            <a:solidFill>
              <a:srgbClr val="CE0044"/>
            </a:solidFill>
            <a:latin typeface="DaxCondensed-Regular" panose="02000506020000020004" pitchFamily="2" charset="0"/>
          </a:endParaRPr>
        </a:p>
      </dsp:txBody>
      <dsp:txXfrm>
        <a:off x="5216139" y="512103"/>
        <a:ext cx="2187495" cy="1666138"/>
      </dsp:txXfrm>
    </dsp:sp>
    <dsp:sp modelId="{370F4369-846B-4CB8-BD3B-7FE3A770C5B9}">
      <dsp:nvSpPr>
        <dsp:cNvPr id="0" name=""/>
        <dsp:cNvSpPr/>
      </dsp:nvSpPr>
      <dsp:spPr>
        <a:xfrm>
          <a:off x="7045263" y="536248"/>
          <a:ext cx="358363" cy="358363"/>
        </a:xfrm>
        <a:prstGeom prst="triangle">
          <a:avLst>
            <a:gd name="adj" fmla="val 100000"/>
          </a:avLst>
        </a:prstGeom>
        <a:solidFill>
          <a:srgbClr val="02395F"/>
        </a:solidFill>
        <a:ln w="25400" cap="flat" cmpd="sng" algn="ctr">
          <a:solidFill>
            <a:srgbClr val="02395F"/>
          </a:solidFill>
          <a:prstDash val="solid"/>
        </a:ln>
        <a:effectLst/>
      </dsp:spPr>
      <dsp:style>
        <a:lnRef idx="2">
          <a:scrgbClr r="0" g="0" b="0"/>
        </a:lnRef>
        <a:fillRef idx="1">
          <a:scrgbClr r="0" g="0" b="0"/>
        </a:fillRef>
        <a:effectRef idx="0">
          <a:scrgbClr r="0" g="0" b="0"/>
        </a:effectRef>
        <a:fontRef idx="minor">
          <a:schemeClr val="lt1"/>
        </a:fontRef>
      </dsp:style>
    </dsp:sp>
    <dsp:sp modelId="{7F7F7750-D146-4A33-8288-1383AD6A2DD1}">
      <dsp:nvSpPr>
        <dsp:cNvPr id="0" name=""/>
        <dsp:cNvSpPr/>
      </dsp:nvSpPr>
      <dsp:spPr>
        <a:xfrm rot="5400000">
          <a:off x="8098483" y="-129635"/>
          <a:ext cx="1263717" cy="2497913"/>
        </a:xfrm>
        <a:prstGeom prst="corner">
          <a:avLst>
            <a:gd name="adj1" fmla="val 16120"/>
            <a:gd name="adj2" fmla="val 16110"/>
          </a:avLst>
        </a:prstGeom>
        <a:solidFill>
          <a:srgbClr val="02395F"/>
        </a:solidFill>
        <a:ln w="25400" cap="flat" cmpd="sng" algn="ctr">
          <a:solidFill>
            <a:srgbClr val="02395F"/>
          </a:solidFill>
          <a:prstDash val="solid"/>
        </a:ln>
        <a:effectLst/>
      </dsp:spPr>
      <dsp:style>
        <a:lnRef idx="2">
          <a:scrgbClr r="0" g="0" b="0"/>
        </a:lnRef>
        <a:fillRef idx="1">
          <a:scrgbClr r="0" g="0" b="0"/>
        </a:fillRef>
        <a:effectRef idx="0">
          <a:scrgbClr r="0" g="0" b="0"/>
        </a:effectRef>
        <a:fontRef idx="minor">
          <a:schemeClr val="lt1"/>
        </a:fontRef>
      </dsp:style>
    </dsp:sp>
    <dsp:sp modelId="{D6EC97AD-D34D-474F-B892-D72CF5C3B3FF}">
      <dsp:nvSpPr>
        <dsp:cNvPr id="0" name=""/>
        <dsp:cNvSpPr/>
      </dsp:nvSpPr>
      <dsp:spPr>
        <a:xfrm>
          <a:off x="7678754" y="21934"/>
          <a:ext cx="2284076" cy="19448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106680" numCol="1" spcCol="1270" anchor="t" anchorCtr="0">
          <a:noAutofit/>
        </a:bodyPr>
        <a:lstStyle/>
        <a:p>
          <a:pPr lvl="0" algn="l" defTabSz="1244600">
            <a:lnSpc>
              <a:spcPct val="90000"/>
            </a:lnSpc>
            <a:spcBef>
              <a:spcPct val="0"/>
            </a:spcBef>
            <a:spcAft>
              <a:spcPct val="35000"/>
            </a:spcAft>
          </a:pPr>
          <a:r>
            <a:rPr lang="de-DE" sz="2800" b="1" kern="1200">
              <a:solidFill>
                <a:srgbClr val="CE0044"/>
              </a:solidFill>
              <a:latin typeface="DaxCondensed-Regular" panose="02000506020000020004" pitchFamily="2" charset="0"/>
            </a:rPr>
            <a:t>Stufe 4</a:t>
          </a:r>
        </a:p>
        <a:p>
          <a:pPr lvl="0" algn="just" defTabSz="1244600">
            <a:lnSpc>
              <a:spcPct val="90000"/>
            </a:lnSpc>
            <a:spcBef>
              <a:spcPct val="0"/>
            </a:spcBef>
            <a:spcAft>
              <a:spcPct val="35000"/>
            </a:spcAft>
          </a:pPr>
          <a:endParaRPr lang="de-DE" sz="500" b="1" kern="1200">
            <a:latin typeface="DaxCondensed-Regular" panose="02000506020000020004" pitchFamily="2" charset="0"/>
          </a:endParaRPr>
        </a:p>
        <a:p>
          <a:pPr lvl="0" algn="just" defTabSz="1244600">
            <a:lnSpc>
              <a:spcPct val="90000"/>
            </a:lnSpc>
            <a:spcBef>
              <a:spcPct val="0"/>
            </a:spcBef>
            <a:spcAft>
              <a:spcPct val="35000"/>
            </a:spcAft>
          </a:pPr>
          <a:r>
            <a:rPr lang="de-DE" sz="1100" b="1" kern="1200">
              <a:latin typeface="DaxCondensed-Regular" panose="02000506020000020004" pitchFamily="2" charset="0"/>
            </a:rPr>
            <a:t>Bargeld &amp; Einkauf: </a:t>
          </a:r>
        </a:p>
        <a:p>
          <a:pPr lvl="0" algn="just" defTabSz="1244600">
            <a:lnSpc>
              <a:spcPct val="90000"/>
            </a:lnSpc>
            <a:spcBef>
              <a:spcPct val="0"/>
            </a:spcBef>
            <a:spcAft>
              <a:spcPct val="35000"/>
            </a:spcAft>
          </a:pPr>
          <a:r>
            <a:rPr lang="de-DE" sz="1100" kern="1200">
              <a:latin typeface="DaxCondensed-Regular" panose="02000506020000020004" pitchFamily="2" charset="0"/>
            </a:rPr>
            <a:t>Der Bewohner erhält i.d.R. jeden Dienstag oder je nach individueller Ver-einbarung Taschengeld. Er muss nach seinen Einkäufen keine Belege oder Waren vorzeigen. Er verwaltet sein Geld selbst. Grundsätzlich sind aber immer wieder unangekündigte Kontrollen der Einkäufe möglich. </a:t>
          </a:r>
        </a:p>
        <a:p>
          <a:pPr lvl="0" algn="just" defTabSz="1244600">
            <a:lnSpc>
              <a:spcPct val="90000"/>
            </a:lnSpc>
            <a:spcBef>
              <a:spcPct val="0"/>
            </a:spcBef>
            <a:spcAft>
              <a:spcPct val="35000"/>
            </a:spcAft>
          </a:pPr>
          <a:endParaRPr lang="de-DE" sz="200" b="1" kern="1200">
            <a:latin typeface="DaxCondensed-Regular" panose="02000506020000020004" pitchFamily="2" charset="0"/>
          </a:endParaRPr>
        </a:p>
        <a:p>
          <a:pPr lvl="0" algn="just" defTabSz="1244600">
            <a:lnSpc>
              <a:spcPct val="90000"/>
            </a:lnSpc>
            <a:spcBef>
              <a:spcPct val="0"/>
            </a:spcBef>
            <a:spcAft>
              <a:spcPct val="35000"/>
            </a:spcAft>
          </a:pPr>
          <a:r>
            <a:rPr lang="de-DE" sz="1100" b="1" kern="1200">
              <a:latin typeface="DaxCondensed-Regular" panose="02000506020000020004" pitchFamily="2" charset="0"/>
            </a:rPr>
            <a:t>Ausgang: </a:t>
          </a:r>
        </a:p>
        <a:p>
          <a:pPr lvl="0" defTabSz="1244600">
            <a:lnSpc>
              <a:spcPct val="90000"/>
            </a:lnSpc>
            <a:spcBef>
              <a:spcPct val="0"/>
            </a:spcBef>
            <a:spcAft>
              <a:spcPct val="35000"/>
            </a:spcAft>
          </a:pPr>
          <a:r>
            <a:rPr lang="de-DE" sz="1100" kern="1200">
              <a:latin typeface="DaxCondensed-Regular" panose="02000506020000020004" pitchFamily="2" charset="0"/>
            </a:rPr>
            <a:t>Der Bewohner hat alleine Ausgang, je-doch nur außerhalb seiner Arbeitszeit (zentrale und dezentrale Arbeitsthera-pie) und seinen Verpflichtungen inner-halb der Hausstruktur. Individuelle Absprachen mit dem Wohnbereich und dem Arbeitsplatz sind möglich.</a:t>
          </a:r>
        </a:p>
        <a:p>
          <a:pPr lvl="0" algn="just" defTabSz="1244600">
            <a:lnSpc>
              <a:spcPct val="90000"/>
            </a:lnSpc>
            <a:spcBef>
              <a:spcPct val="0"/>
            </a:spcBef>
            <a:spcAft>
              <a:spcPct val="35000"/>
            </a:spcAft>
          </a:pPr>
          <a:r>
            <a:rPr lang="de-DE" sz="1100" kern="1200">
              <a:latin typeface="DaxCondensed-Regular" panose="02000506020000020004" pitchFamily="2" charset="0"/>
            </a:rPr>
            <a:t>Grundsätzlich müssen sich die Be-wohner mündlich bei der AT und dem Wohnbereich selbstständig abmelden. Auf dem Wohnbereich erhalten sie einen An- und Abmeldezettel für die Pforte und müssen sich zusätzlich noch in einem Ausgangsbuch schrift-lich abmelden. Bei der Rückkehr ist es Pflicht, sich beim Personal zu melden und erneut im Ausgangsbuch gegen-zuzeichnen</a:t>
          </a:r>
        </a:p>
        <a:p>
          <a:pPr lvl="0" algn="just" defTabSz="1244600">
            <a:lnSpc>
              <a:spcPct val="90000"/>
            </a:lnSpc>
            <a:spcBef>
              <a:spcPct val="0"/>
            </a:spcBef>
            <a:spcAft>
              <a:spcPct val="35000"/>
            </a:spcAft>
          </a:pPr>
          <a:endParaRPr lang="de-DE" sz="200" b="1" kern="1200">
            <a:latin typeface="DaxCondensed-Regular" panose="02000506020000020004" pitchFamily="2" charset="0"/>
          </a:endParaRPr>
        </a:p>
        <a:p>
          <a:pPr lvl="0" algn="just" defTabSz="1244600">
            <a:lnSpc>
              <a:spcPct val="90000"/>
            </a:lnSpc>
            <a:spcBef>
              <a:spcPct val="0"/>
            </a:spcBef>
            <a:spcAft>
              <a:spcPct val="35000"/>
            </a:spcAft>
          </a:pPr>
          <a:r>
            <a:rPr lang="de-DE" sz="1100" b="1" kern="1200">
              <a:latin typeface="DaxCondensed-Regular" panose="02000506020000020004" pitchFamily="2" charset="0"/>
            </a:rPr>
            <a:t>Alkohol- und Drogentest: </a:t>
          </a:r>
        </a:p>
        <a:p>
          <a:pPr lvl="0" algn="just" defTabSz="1244600">
            <a:lnSpc>
              <a:spcPct val="90000"/>
            </a:lnSpc>
            <a:spcBef>
              <a:spcPct val="0"/>
            </a:spcBef>
            <a:spcAft>
              <a:spcPct val="35000"/>
            </a:spcAft>
          </a:pPr>
          <a:r>
            <a:rPr lang="de-DE" sz="1100" b="0" kern="1200">
              <a:latin typeface="DaxCondensed-Regular" panose="02000506020000020004" pitchFamily="2" charset="0"/>
            </a:rPr>
            <a:t>S</a:t>
          </a:r>
          <a:r>
            <a:rPr lang="de-DE" sz="1100" kern="1200">
              <a:latin typeface="DaxCondensed-Regular" panose="02000506020000020004" pitchFamily="2" charset="0"/>
            </a:rPr>
            <a:t>tichprobenartig, nach jedem Ausgang Urintests bei Bedarf. </a:t>
          </a:r>
        </a:p>
        <a:p>
          <a:pPr lvl="0" algn="just" defTabSz="1244600">
            <a:lnSpc>
              <a:spcPct val="90000"/>
            </a:lnSpc>
            <a:spcBef>
              <a:spcPct val="0"/>
            </a:spcBef>
            <a:spcAft>
              <a:spcPct val="35000"/>
            </a:spcAft>
          </a:pPr>
          <a:endParaRPr lang="de-DE" sz="1100" kern="1200">
            <a:solidFill>
              <a:srgbClr val="CE0044"/>
            </a:solidFill>
            <a:latin typeface="DaxCondensed-Regular" panose="02000506020000020004" pitchFamily="2" charset="0"/>
          </a:endParaRPr>
        </a:p>
        <a:p>
          <a:pPr lvl="0" algn="just" defTabSz="1244600">
            <a:lnSpc>
              <a:spcPct val="90000"/>
            </a:lnSpc>
            <a:spcBef>
              <a:spcPct val="0"/>
            </a:spcBef>
            <a:spcAft>
              <a:spcPct val="35000"/>
            </a:spcAft>
          </a:pPr>
          <a:endParaRPr lang="de-DE" sz="1100" kern="1200">
            <a:solidFill>
              <a:srgbClr val="CE0044"/>
            </a:solidFill>
            <a:latin typeface="DaxCondensed-Regular" panose="02000506020000020004" pitchFamily="2" charset="0"/>
          </a:endParaRPr>
        </a:p>
        <a:p>
          <a:pPr lvl="0" algn="just" defTabSz="1244600">
            <a:lnSpc>
              <a:spcPct val="90000"/>
            </a:lnSpc>
            <a:spcBef>
              <a:spcPct val="0"/>
            </a:spcBef>
            <a:spcAft>
              <a:spcPct val="35000"/>
            </a:spcAft>
          </a:pPr>
          <a:endParaRPr lang="de-DE" sz="1100" kern="1200">
            <a:solidFill>
              <a:srgbClr val="CE0044"/>
            </a:solidFill>
            <a:latin typeface="DaxCondensed-Regular" panose="02000506020000020004" pitchFamily="2" charset="0"/>
          </a:endParaRPr>
        </a:p>
      </dsp:txBody>
      <dsp:txXfrm>
        <a:off x="7678754" y="21934"/>
        <a:ext cx="2284076" cy="1944871"/>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A5429-D2B5-4382-91EB-70B654CE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77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Faxnummer:</vt:lpstr>
    </vt:vector>
  </TitlesOfParts>
  <Company>Pflege- und Betreuungsheim Ortenau</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Faxnummer:</dc:title>
  <dc:creator>Schrempp, Ines</dc:creator>
  <cp:lastModifiedBy>Gresens, Lena</cp:lastModifiedBy>
  <cp:revision>7</cp:revision>
  <cp:lastPrinted>2021-07-08T13:15:00Z</cp:lastPrinted>
  <dcterms:created xsi:type="dcterms:W3CDTF">2025-02-19T07:40:00Z</dcterms:created>
  <dcterms:modified xsi:type="dcterms:W3CDTF">2025-10-27T09:26:00Z</dcterms:modified>
</cp:coreProperties>
</file>